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CC4E7" w14:textId="46A64117" w:rsidR="00570B2A" w:rsidRPr="00570B2A" w:rsidRDefault="00570B2A" w:rsidP="00570B2A">
      <w:pPr>
        <w:rPr>
          <w:b/>
        </w:rPr>
      </w:pPr>
      <w:r w:rsidRPr="00570B2A">
        <w:rPr>
          <w:b/>
        </w:rPr>
        <w:t>Title</w:t>
      </w:r>
    </w:p>
    <w:p w14:paraId="731BD8C8" w14:textId="46993278" w:rsidR="00570B2A" w:rsidRPr="00570B2A" w:rsidRDefault="00570B2A" w:rsidP="00570B2A">
      <w:r>
        <w:t>Aging &amp; Society (200-level) SSDAN Quantitative Data Module</w:t>
      </w:r>
    </w:p>
    <w:p w14:paraId="2D7B1C9A" w14:textId="1C9D798D" w:rsidR="00B175CF" w:rsidRDefault="00B175CF">
      <w:r w:rsidRPr="00B175CF">
        <w:rPr>
          <w:b/>
        </w:rPr>
        <w:t>Author(s)</w:t>
      </w:r>
    </w:p>
    <w:p w14:paraId="748E1A43" w14:textId="78D20E4A" w:rsidR="00B175CF" w:rsidRDefault="00B175CF">
      <w:r>
        <w:t>Marley Olson, Walla Walla Community College</w:t>
      </w:r>
    </w:p>
    <w:p w14:paraId="0070AC03" w14:textId="5F3BBCCB" w:rsidR="00B175CF" w:rsidRPr="00B175CF" w:rsidRDefault="00B175CF" w:rsidP="00B175CF">
      <w:pPr>
        <w:rPr>
          <w:b/>
        </w:rPr>
      </w:pPr>
      <w:r w:rsidRPr="00B175CF">
        <w:rPr>
          <w:b/>
        </w:rPr>
        <w:t>Learning Goals</w:t>
      </w:r>
    </w:p>
    <w:p w14:paraId="45011033" w14:textId="6D661641" w:rsidR="00B175CF" w:rsidRDefault="00B175CF" w:rsidP="00B175CF">
      <w:r>
        <w:t xml:space="preserve">Make effective evidence-based arguments based on quantitative data and communicate relevant implications. </w:t>
      </w:r>
    </w:p>
    <w:p w14:paraId="54D7479F" w14:textId="0A410131" w:rsidR="00B175CF" w:rsidRDefault="00B175CF" w:rsidP="00B175CF">
      <w:r>
        <w:t>Develop increased confidence in understanding, evaluating, and doing social science research.</w:t>
      </w:r>
    </w:p>
    <w:p w14:paraId="48BE1112" w14:textId="0A057A52" w:rsidR="00B175CF" w:rsidRDefault="00B175CF" w:rsidP="00B175CF">
      <w:r>
        <w:t xml:space="preserve">Cultivate self-efficacy strategies to sustain one’s intrinsic motivation for learning by developing a tolerance for and resiliency from learning challenges. </w:t>
      </w:r>
    </w:p>
    <w:p w14:paraId="0BAC1760" w14:textId="77777777" w:rsidR="00B175CF" w:rsidRDefault="00B175CF" w:rsidP="00B175CF">
      <w:pPr>
        <w:rPr>
          <w:b/>
        </w:rPr>
      </w:pPr>
      <w:r>
        <w:rPr>
          <w:b/>
        </w:rPr>
        <w:t>Context for Use</w:t>
      </w:r>
    </w:p>
    <w:p w14:paraId="78E34BB0" w14:textId="2BADE6DC" w:rsidR="00B175CF" w:rsidRDefault="00B175CF" w:rsidP="00B175CF">
      <w:r>
        <w:t>This module was developed for Aging &amp; Society, a 200-level sociology course offered a</w:t>
      </w:r>
      <w:r w:rsidR="00F64867">
        <w:t>t an open admissions institution. It i</w:t>
      </w:r>
      <w:r>
        <w:t>s a</w:t>
      </w:r>
      <w:r w:rsidR="00F64867">
        <w:t>lso a</w:t>
      </w:r>
      <w:r>
        <w:t xml:space="preserve"> required course for</w:t>
      </w:r>
      <w:r w:rsidR="00F64867">
        <w:t xml:space="preserve"> students in the</w:t>
      </w:r>
      <w:r>
        <w:t xml:space="preserve"> Human and Social Services </w:t>
      </w:r>
      <w:r w:rsidR="00F64867">
        <w:t xml:space="preserve">pathway. </w:t>
      </w:r>
    </w:p>
    <w:p w14:paraId="4A5D6D26" w14:textId="77777777" w:rsidR="00B175CF" w:rsidRDefault="00B175CF" w:rsidP="00B175CF">
      <w:pPr>
        <w:rPr>
          <w:b/>
        </w:rPr>
      </w:pPr>
      <w:r>
        <w:rPr>
          <w:b/>
        </w:rPr>
        <w:t>Description and Teaching Materials</w:t>
      </w:r>
    </w:p>
    <w:p w14:paraId="62C6B763" w14:textId="77777777" w:rsidR="00B175CF" w:rsidRDefault="00B175CF" w:rsidP="00B175CF">
      <w:r>
        <w:t>[Link]</w:t>
      </w:r>
    </w:p>
    <w:p w14:paraId="3BD0BCF1" w14:textId="77777777" w:rsidR="00B175CF" w:rsidRDefault="00B175CF" w:rsidP="00B175CF">
      <w:pPr>
        <w:rPr>
          <w:b/>
        </w:rPr>
      </w:pPr>
      <w:r>
        <w:rPr>
          <w:b/>
        </w:rPr>
        <w:t>Assessment</w:t>
      </w:r>
    </w:p>
    <w:p w14:paraId="790E1EC3" w14:textId="77777777" w:rsidR="00B175CF" w:rsidRDefault="00B175CF" w:rsidP="00B175CF">
      <w:r>
        <w:t>[Link]</w:t>
      </w:r>
    </w:p>
    <w:p w14:paraId="6C032488" w14:textId="77777777" w:rsidR="00F64867" w:rsidRDefault="00B175CF" w:rsidP="00B175CF">
      <w:r>
        <w:t xml:space="preserve">In this module, students are introduced to foundational quantitative data literacy, including raw counts versus percentages, univariate table interpretation, and bivariate table interpretation. As a class, we walk through examples using </w:t>
      </w:r>
      <w:proofErr w:type="spellStart"/>
      <w:r>
        <w:t>WebCHIP</w:t>
      </w:r>
      <w:proofErr w:type="spellEnd"/>
      <w:r>
        <w:t xml:space="preserve"> with interpretation then generating our own tables. After the in-class workshop, students </w:t>
      </w:r>
      <w:r w:rsidR="00501DA3">
        <w:t xml:space="preserve">identify a research question and appropriate variables available in </w:t>
      </w:r>
      <w:proofErr w:type="spellStart"/>
      <w:r w:rsidR="00501DA3">
        <w:t>WebCHIP</w:t>
      </w:r>
      <w:proofErr w:type="spellEnd"/>
      <w:r w:rsidR="00501DA3">
        <w:t xml:space="preserve">. The module culminates in brief student reports of their findings. </w:t>
      </w:r>
    </w:p>
    <w:p w14:paraId="32E6998A" w14:textId="597E8D6E" w:rsidR="00B175CF" w:rsidRDefault="00B175CF" w:rsidP="00F64867">
      <w:pPr>
        <w:rPr>
          <w:rFonts w:asciiTheme="majorHAnsi" w:eastAsiaTheme="majorEastAsia" w:hAnsiTheme="majorHAnsi" w:cstheme="majorBidi"/>
          <w:color w:val="2F5496" w:themeColor="accent1" w:themeShade="BF"/>
          <w:sz w:val="32"/>
          <w:szCs w:val="32"/>
        </w:rPr>
      </w:pPr>
      <w:r>
        <w:br w:type="page"/>
      </w:r>
    </w:p>
    <w:p w14:paraId="7D7935FD" w14:textId="4AC17311" w:rsidR="0046684C" w:rsidRDefault="0046684C" w:rsidP="0046684C">
      <w:pPr>
        <w:pStyle w:val="Heading1"/>
        <w:jc w:val="center"/>
      </w:pPr>
      <w:r>
        <w:lastRenderedPageBreak/>
        <w:t>SSDAN Quantitative Data Module</w:t>
      </w:r>
    </w:p>
    <w:p w14:paraId="7A6831F5" w14:textId="5CF2E7D5" w:rsidR="0046684C" w:rsidRDefault="0046684C" w:rsidP="0046684C">
      <w:pPr>
        <w:pStyle w:val="Heading2"/>
        <w:jc w:val="center"/>
      </w:pPr>
      <w:r>
        <w:t>Instructor Manual</w:t>
      </w:r>
    </w:p>
    <w:p w14:paraId="6DB4C558" w14:textId="77777777" w:rsidR="0046684C" w:rsidRPr="0046684C" w:rsidRDefault="0046684C" w:rsidP="0046684C"/>
    <w:p w14:paraId="00A25601" w14:textId="77777777" w:rsidR="00ED7871" w:rsidRDefault="00ED7871" w:rsidP="001830C3">
      <w:pPr>
        <w:pStyle w:val="Heading3"/>
      </w:pPr>
      <w:r>
        <w:t>To prepare:</w:t>
      </w:r>
    </w:p>
    <w:p w14:paraId="528029C0" w14:textId="0B3D1F2D" w:rsidR="00ED7871" w:rsidRDefault="00ED7871" w:rsidP="00ED7871">
      <w:r w:rsidRPr="001830C3">
        <w:rPr>
          <w:b/>
        </w:rPr>
        <w:t>Reserve a computer lab</w:t>
      </w:r>
      <w:r w:rsidR="001830C3">
        <w:t xml:space="preserve">. </w:t>
      </w:r>
      <w:r>
        <w:t xml:space="preserve">You will want to ensure there are enough computers for each student and that the space allows for a projector system. You will want to remind students ahead of this day to come prepared with their login information for your institution. Some students may want to bring in and use their own laptops; however, I assume all students will need a computer when reserving my computer lab space. </w:t>
      </w:r>
    </w:p>
    <w:p w14:paraId="3C1B46D5" w14:textId="0538B64D" w:rsidR="0046684C" w:rsidRDefault="001830C3" w:rsidP="00ED7871">
      <w:r w:rsidRPr="001830C3">
        <w:rPr>
          <w:b/>
        </w:rPr>
        <w:t>Prepare your lecture</w:t>
      </w:r>
      <w:r>
        <w:t>. I</w:t>
      </w:r>
      <w:r w:rsidR="00ED7871">
        <w:t xml:space="preserve"> structure my instruction in the “I do, we do, you do” format</w:t>
      </w:r>
      <w:r>
        <w:t xml:space="preserve"> and do not use any prepared visual aids other than the Student Worksheet, which we go through together with lecture interspersed between each section. I</w:t>
      </w:r>
      <w:r w:rsidR="00A9512E">
        <w:t xml:space="preserve"> </w:t>
      </w:r>
      <w:r w:rsidR="00ED7871">
        <w:t xml:space="preserve">display the Student Worksheet through the projector, have a PowerPoint slide with </w:t>
      </w:r>
      <w:proofErr w:type="spellStart"/>
      <w:r w:rsidR="00ED7871">
        <w:t>PollEverywhere</w:t>
      </w:r>
      <w:proofErr w:type="spellEnd"/>
      <w:r w:rsidR="00ED7871">
        <w:t xml:space="preserve"> questions already embedded, and have a web browser open. </w:t>
      </w:r>
    </w:p>
    <w:p w14:paraId="3C21F2CF" w14:textId="77777777" w:rsidR="001830C3" w:rsidRDefault="001830C3" w:rsidP="001830C3">
      <w:r w:rsidRPr="001830C3">
        <w:rPr>
          <w:b/>
        </w:rPr>
        <w:t>Create a student engagement platform.</w:t>
      </w:r>
      <w:r>
        <w:t xml:space="preserve"> I use </w:t>
      </w:r>
      <w:proofErr w:type="spellStart"/>
      <w:r>
        <w:t>PollEverywhere</w:t>
      </w:r>
      <w:proofErr w:type="spellEnd"/>
      <w:r>
        <w:t xml:space="preserve"> embedded within a prepared PowerPoint that includes the True/False statements from the Student Worksheet. Alternatively, you might use Clickers or some other form of anonymous, synchronous student feedback system. </w:t>
      </w:r>
    </w:p>
    <w:p w14:paraId="25EACF5D" w14:textId="77777777" w:rsidR="001830C3" w:rsidRDefault="001830C3" w:rsidP="00ED7871"/>
    <w:p w14:paraId="13C369E0" w14:textId="77777777" w:rsidR="0046684C" w:rsidRDefault="0046684C">
      <w:pPr>
        <w:rPr>
          <w:rFonts w:asciiTheme="majorHAnsi" w:eastAsiaTheme="majorEastAsia" w:hAnsiTheme="majorHAnsi" w:cstheme="majorBidi"/>
          <w:color w:val="2F5496" w:themeColor="accent1" w:themeShade="BF"/>
          <w:sz w:val="32"/>
          <w:szCs w:val="32"/>
        </w:rPr>
      </w:pPr>
      <w:r>
        <w:br w:type="page"/>
      </w:r>
    </w:p>
    <w:p w14:paraId="69395D46" w14:textId="6A24E602" w:rsidR="0033007F" w:rsidRDefault="0033007F" w:rsidP="0033007F">
      <w:pPr>
        <w:pStyle w:val="Heading1"/>
        <w:jc w:val="center"/>
      </w:pPr>
      <w:r>
        <w:lastRenderedPageBreak/>
        <w:t xml:space="preserve">SSDAN </w:t>
      </w:r>
      <w:r w:rsidR="00F64867">
        <w:t xml:space="preserve">Quantitative Data </w:t>
      </w:r>
      <w:r>
        <w:t>Module</w:t>
      </w:r>
    </w:p>
    <w:p w14:paraId="2498C5E0" w14:textId="5DC1EC77" w:rsidR="0046684C" w:rsidRPr="0046684C" w:rsidRDefault="0046684C" w:rsidP="0046684C">
      <w:pPr>
        <w:pStyle w:val="Heading2"/>
        <w:jc w:val="center"/>
      </w:pPr>
      <w:r>
        <w:t>Student Worksheet</w:t>
      </w:r>
    </w:p>
    <w:p w14:paraId="2C79FE55" w14:textId="77777777" w:rsidR="00F64867" w:rsidRDefault="00F64867" w:rsidP="003F224A">
      <w:pPr>
        <w:pStyle w:val="Heading3"/>
      </w:pPr>
    </w:p>
    <w:p w14:paraId="58BC2882" w14:textId="6382D032" w:rsidR="00B152D2" w:rsidRDefault="00B152D2" w:rsidP="003F224A">
      <w:pPr>
        <w:pStyle w:val="Heading3"/>
      </w:pPr>
      <w:r>
        <w:t>What will students do?</w:t>
      </w:r>
    </w:p>
    <w:p w14:paraId="456AFA83" w14:textId="14E02D65" w:rsidR="007506BA" w:rsidRDefault="0033007F" w:rsidP="0033007F">
      <w:pPr>
        <w:pStyle w:val="NoSpacing"/>
      </w:pPr>
      <w:r>
        <w:t>In this learning module, students will learn to distinguish between raw counts and rates</w:t>
      </w:r>
      <w:r w:rsidR="00B40E08">
        <w:t xml:space="preserve"> to</w:t>
      </w:r>
      <w:r>
        <w:t xml:space="preserve"> identify situations where each is most appropriate to use. Students will learn how to interpret bivariate tables, and then generate tables </w:t>
      </w:r>
      <w:r w:rsidR="00110D1E">
        <w:t>to answer</w:t>
      </w:r>
      <w:r>
        <w:t xml:space="preserve"> their </w:t>
      </w:r>
      <w:r w:rsidR="00110D1E">
        <w:t xml:space="preserve">own </w:t>
      </w:r>
      <w:r>
        <w:t xml:space="preserve">research questions. Students will </w:t>
      </w:r>
      <w:r w:rsidR="00110D1E">
        <w:t>generate a suitable data visualization</w:t>
      </w:r>
      <w:r>
        <w:t xml:space="preserve"> that </w:t>
      </w:r>
      <w:r w:rsidR="00110D1E">
        <w:t xml:space="preserve">effectively </w:t>
      </w:r>
      <w:r>
        <w:t xml:space="preserve">communicates </w:t>
      </w:r>
      <w:r w:rsidR="00110D1E">
        <w:t>their results</w:t>
      </w:r>
      <w:r>
        <w:t xml:space="preserve"> and the </w:t>
      </w:r>
      <w:r w:rsidR="00110D1E">
        <w:t>implications of such</w:t>
      </w:r>
      <w:r>
        <w:t xml:space="preserve"> to a lay audience</w:t>
      </w:r>
      <w:r w:rsidR="00110D1E">
        <w:t xml:space="preserve"> in a two- to three-page report.</w:t>
      </w:r>
    </w:p>
    <w:p w14:paraId="34195406" w14:textId="77777777" w:rsidR="006C1A58" w:rsidRDefault="006C1A58" w:rsidP="0033007F">
      <w:pPr>
        <w:pStyle w:val="NoSpacing"/>
      </w:pPr>
    </w:p>
    <w:p w14:paraId="4AB93B40" w14:textId="77777777" w:rsidR="00B152D2" w:rsidRDefault="00B152D2" w:rsidP="003F224A">
      <w:pPr>
        <w:pStyle w:val="Heading3"/>
      </w:pPr>
      <w:r>
        <w:t>What will students learn?</w:t>
      </w:r>
    </w:p>
    <w:p w14:paraId="3F22F49F" w14:textId="77777777" w:rsidR="00E61C7D" w:rsidRDefault="00E61C7D" w:rsidP="0033007F">
      <w:pPr>
        <w:pStyle w:val="NoSpacing"/>
      </w:pPr>
      <w:r>
        <w:t>Student Learning Objectives (SLOs)</w:t>
      </w:r>
    </w:p>
    <w:p w14:paraId="61A1E297" w14:textId="48FAF148" w:rsidR="00F64867" w:rsidRDefault="00F64867" w:rsidP="00E61C7D">
      <w:pPr>
        <w:pStyle w:val="NoSpacing"/>
        <w:numPr>
          <w:ilvl w:val="0"/>
          <w:numId w:val="1"/>
        </w:numPr>
      </w:pPr>
      <w:bookmarkStart w:id="0" w:name="_Hlk159866632"/>
      <w:r>
        <w:t xml:space="preserve">Discuss how the older population and the diversity of aging both affect and are affected by the social structure. </w:t>
      </w:r>
    </w:p>
    <w:p w14:paraId="3B0F4098" w14:textId="488CEE61" w:rsidR="00E61C7D" w:rsidRDefault="00E61C7D" w:rsidP="00E61C7D">
      <w:pPr>
        <w:pStyle w:val="NoSpacing"/>
        <w:numPr>
          <w:ilvl w:val="0"/>
          <w:numId w:val="1"/>
        </w:numPr>
      </w:pPr>
      <w:r w:rsidRPr="00E61C7D">
        <w:t xml:space="preserve">Make effective evidence-based arguments based on </w:t>
      </w:r>
      <w:r w:rsidR="00110D1E">
        <w:t>quantitative data</w:t>
      </w:r>
      <w:r w:rsidRPr="00E61C7D">
        <w:t xml:space="preserve"> and </w:t>
      </w:r>
      <w:r w:rsidR="00110D1E">
        <w:t>communicate</w:t>
      </w:r>
      <w:r>
        <w:t xml:space="preserve"> relevant implications. </w:t>
      </w:r>
    </w:p>
    <w:p w14:paraId="532DCFF9" w14:textId="77777777" w:rsidR="0086147B" w:rsidRDefault="0086147B" w:rsidP="0086147B">
      <w:pPr>
        <w:pStyle w:val="NoSpacing"/>
        <w:numPr>
          <w:ilvl w:val="0"/>
          <w:numId w:val="1"/>
        </w:numPr>
      </w:pPr>
      <w:r>
        <w:t xml:space="preserve">Develop increased </w:t>
      </w:r>
      <w:r w:rsidRPr="00E61C7D">
        <w:t>confidence in understanding, evaluating, and doing social science research</w:t>
      </w:r>
      <w:r>
        <w:t>.</w:t>
      </w:r>
    </w:p>
    <w:p w14:paraId="1F906B9C" w14:textId="7BB0CED0" w:rsidR="006C1A58" w:rsidRDefault="00E61C7D" w:rsidP="00F64867">
      <w:pPr>
        <w:pStyle w:val="NoSpacing"/>
        <w:numPr>
          <w:ilvl w:val="0"/>
          <w:numId w:val="1"/>
        </w:numPr>
      </w:pPr>
      <w:r>
        <w:t>Cultivate self-efficacy strategies to sustain one’s</w:t>
      </w:r>
      <w:r w:rsidR="00110D1E">
        <w:t xml:space="preserve"> intrinsic motivation for</w:t>
      </w:r>
      <w:r>
        <w:t xml:space="preserve"> learning </w:t>
      </w:r>
      <w:r w:rsidR="00110D1E">
        <w:t>by developing a</w:t>
      </w:r>
      <w:r>
        <w:t xml:space="preserve"> tolerance for and resiliency from learning challenges</w:t>
      </w:r>
      <w:r w:rsidR="00110D1E">
        <w:t xml:space="preserve">. </w:t>
      </w:r>
      <w:bookmarkEnd w:id="0"/>
      <w:r w:rsidR="00110D1E">
        <w:br/>
      </w:r>
    </w:p>
    <w:p w14:paraId="027D0596" w14:textId="77777777" w:rsidR="00B152D2" w:rsidRDefault="00B152D2" w:rsidP="003F224A">
      <w:pPr>
        <w:pStyle w:val="Heading3"/>
      </w:pPr>
      <w:r>
        <w:t>Why this module?</w:t>
      </w:r>
    </w:p>
    <w:p w14:paraId="114BEAAA" w14:textId="77777777" w:rsidR="00740843" w:rsidRDefault="00B152D2" w:rsidP="00B152D2">
      <w:pPr>
        <w:pStyle w:val="NoSpacing"/>
      </w:pPr>
      <w:r>
        <w:t xml:space="preserve">This module </w:t>
      </w:r>
      <w:r w:rsidRPr="00B152D2">
        <w:t>provide</w:t>
      </w:r>
      <w:r>
        <w:t>s</w:t>
      </w:r>
      <w:r w:rsidRPr="00B152D2">
        <w:t xml:space="preserve"> the opportunity </w:t>
      </w:r>
      <w:r w:rsidR="009730E8">
        <w:t xml:space="preserve">for students to see </w:t>
      </w:r>
      <w:r w:rsidRPr="00B152D2">
        <w:t xml:space="preserve">sociology as it is practiced </w:t>
      </w:r>
      <w:r w:rsidR="009730E8">
        <w:t>to understand</w:t>
      </w:r>
      <w:r w:rsidRPr="00B152D2">
        <w:t xml:space="preserve"> how </w:t>
      </w:r>
      <w:r>
        <w:t>we</w:t>
      </w:r>
      <w:r w:rsidRPr="00B152D2">
        <w:t xml:space="preserve"> know what we know as opposed to only what is known. </w:t>
      </w:r>
      <w:r>
        <w:t xml:space="preserve">The </w:t>
      </w:r>
      <w:r w:rsidR="00740843">
        <w:t xml:space="preserve">main goal </w:t>
      </w:r>
      <w:r>
        <w:t xml:space="preserve">of this module is </w:t>
      </w:r>
      <w:r w:rsidR="00740843">
        <w:t>for</w:t>
      </w:r>
      <w:r w:rsidRPr="007506BA">
        <w:t xml:space="preserve"> students</w:t>
      </w:r>
      <w:r w:rsidR="00740843">
        <w:t xml:space="preserve"> to learn</w:t>
      </w:r>
      <w:r w:rsidRPr="007506BA">
        <w:t xml:space="preserve"> about </w:t>
      </w:r>
      <w:r w:rsidR="00740843">
        <w:t xml:space="preserve">how </w:t>
      </w:r>
      <w:r>
        <w:t xml:space="preserve">knowledge </w:t>
      </w:r>
      <w:r w:rsidR="00740843">
        <w:t>is produced</w:t>
      </w:r>
      <w:r>
        <w:t xml:space="preserve"> in the social sciences</w:t>
      </w:r>
      <w:r w:rsidRPr="007506BA">
        <w:t>.</w:t>
      </w:r>
      <w:r w:rsidR="00740843">
        <w:t xml:space="preserve"> S</w:t>
      </w:r>
      <w:r w:rsidRPr="007506BA">
        <w:t xml:space="preserve">tudents </w:t>
      </w:r>
      <w:r w:rsidR="00740843">
        <w:t xml:space="preserve">will </w:t>
      </w:r>
      <w:r w:rsidRPr="007506BA">
        <w:t>learn discipline-specific skills, methods, and techniques while gaining research experience</w:t>
      </w:r>
      <w:r>
        <w:t xml:space="preserve">. </w:t>
      </w:r>
      <w:r w:rsidRPr="007506BA">
        <w:t xml:space="preserve">These skills are largely transferable and marketable for students in the labor market. </w:t>
      </w:r>
      <w:r w:rsidR="00740843">
        <w:t>Course-based undergraduate research experiences</w:t>
      </w:r>
      <w:r w:rsidR="009730E8">
        <w:t>,</w:t>
      </w:r>
      <w:r w:rsidR="00740843">
        <w:t xml:space="preserve"> like this one</w:t>
      </w:r>
      <w:r w:rsidR="009730E8">
        <w:t>,</w:t>
      </w:r>
      <w:r w:rsidR="00740843">
        <w:t xml:space="preserve"> </w:t>
      </w:r>
      <w:r w:rsidR="00521221">
        <w:t>have been show</w:t>
      </w:r>
      <w:r w:rsidR="009730E8">
        <w:t>n</w:t>
      </w:r>
      <w:r w:rsidR="00521221">
        <w:t xml:space="preserve"> to increase student engagement and foster more meaningful educational experiences. </w:t>
      </w:r>
    </w:p>
    <w:p w14:paraId="287644D1" w14:textId="77777777" w:rsidR="00C039FE" w:rsidRDefault="00C039FE" w:rsidP="0033007F">
      <w:pPr>
        <w:pStyle w:val="NoSpacing"/>
      </w:pPr>
    </w:p>
    <w:p w14:paraId="5C3AD439" w14:textId="77777777" w:rsidR="00C039FE" w:rsidRDefault="006C1A58" w:rsidP="003F224A">
      <w:pPr>
        <w:pStyle w:val="Heading3"/>
      </w:pPr>
      <w:r>
        <w:t>Instructions</w:t>
      </w:r>
    </w:p>
    <w:p w14:paraId="5A2B4AE3" w14:textId="64966CCE" w:rsidR="002A0547" w:rsidRDefault="00521221">
      <w:r>
        <w:t xml:space="preserve">About a week prior to the due date of the final report, as a class we will meet </w:t>
      </w:r>
      <w:r w:rsidR="009730E8">
        <w:t xml:space="preserve">in </w:t>
      </w:r>
      <w:r w:rsidR="002742F7">
        <w:t xml:space="preserve">Computer </w:t>
      </w:r>
      <w:r>
        <w:t>Lab 115</w:t>
      </w:r>
      <w:r w:rsidR="00162256">
        <w:t xml:space="preserve"> during our regularly scheduled class meeting time</w:t>
      </w:r>
      <w:r>
        <w:t xml:space="preserve"> to work with the </w:t>
      </w:r>
      <w:r w:rsidR="007914DB">
        <w:t xml:space="preserve">Social Science Data Analysis Network (SSDAN) </w:t>
      </w:r>
      <w:proofErr w:type="spellStart"/>
      <w:r w:rsidR="007914DB">
        <w:t>WebCHIP</w:t>
      </w:r>
      <w:proofErr w:type="spellEnd"/>
      <w:r w:rsidR="007914DB">
        <w:t xml:space="preserve"> online data </w:t>
      </w:r>
      <w:r w:rsidR="0004263D">
        <w:t xml:space="preserve">tool. During this lab, </w:t>
      </w:r>
      <w:r w:rsidR="00162256">
        <w:t>students</w:t>
      </w:r>
      <w:r w:rsidR="0004263D">
        <w:t xml:space="preserve"> will become familiar with how to interpret bivariate tables and how to </w:t>
      </w:r>
      <w:r w:rsidR="00162256">
        <w:t xml:space="preserve">generate </w:t>
      </w:r>
      <w:r w:rsidR="0004263D">
        <w:t xml:space="preserve">tables to answer </w:t>
      </w:r>
      <w:r w:rsidR="00162256">
        <w:t>their</w:t>
      </w:r>
      <w:r w:rsidR="0004263D">
        <w:t xml:space="preserve"> own research questions us</w:t>
      </w:r>
      <w:r w:rsidR="00162256">
        <w:t>ing</w:t>
      </w:r>
      <w:r w:rsidR="0004263D">
        <w:t xml:space="preserve"> the available data collections. Students will write a </w:t>
      </w:r>
      <w:r w:rsidR="00162256">
        <w:t xml:space="preserve">two- to three-page </w:t>
      </w:r>
      <w:r w:rsidR="0004263D">
        <w:t>report that describes their research methods (including their research question, the data collection used, the dataset, their row and column variables, and control variables (if applicable)), their findings</w:t>
      </w:r>
      <w:r w:rsidR="00341B1F">
        <w:t xml:space="preserve"> (including a </w:t>
      </w:r>
      <w:r w:rsidR="00162256">
        <w:t xml:space="preserve">data visualization </w:t>
      </w:r>
      <w:r w:rsidR="00341B1F">
        <w:t>and a written interpretation)</w:t>
      </w:r>
      <w:r w:rsidR="0004263D">
        <w:t xml:space="preserve">, and their recommendations based on theoretical and empirical evidence. </w:t>
      </w:r>
      <w:r w:rsidR="00162256">
        <w:t>The</w:t>
      </w:r>
      <w:r w:rsidR="00341B1F">
        <w:t xml:space="preserve"> write</w:t>
      </w:r>
      <w:r w:rsidR="00162256">
        <w:t>-</w:t>
      </w:r>
      <w:r w:rsidR="00341B1F">
        <w:t>up should be two</w:t>
      </w:r>
      <w:r w:rsidR="00162256">
        <w:t>-</w:t>
      </w:r>
      <w:r w:rsidR="00341B1F">
        <w:t xml:space="preserve"> to three</w:t>
      </w:r>
      <w:r w:rsidR="00162256">
        <w:t>-</w:t>
      </w:r>
      <w:r w:rsidR="00341B1F">
        <w:t xml:space="preserve"> pages long. If any outside sources</w:t>
      </w:r>
      <w:r w:rsidR="00162256">
        <w:t xml:space="preserve"> are used, they must be properly cited using any recognized citation style and include</w:t>
      </w:r>
      <w:r w:rsidR="00341B1F">
        <w:t xml:space="preserve"> a </w:t>
      </w:r>
      <w:r w:rsidR="00162256">
        <w:t>bibliography/r</w:t>
      </w:r>
      <w:r w:rsidR="00341B1F">
        <w:t>eferences page</w:t>
      </w:r>
      <w:r w:rsidR="00162256">
        <w:t xml:space="preserve"> with full citations</w:t>
      </w:r>
      <w:r w:rsidR="00341B1F">
        <w:t xml:space="preserve">. </w:t>
      </w:r>
      <w:r w:rsidR="00162256">
        <w:t>P</w:t>
      </w:r>
      <w:r w:rsidR="00341B1F">
        <w:t>aper</w:t>
      </w:r>
      <w:r w:rsidR="00162256">
        <w:t>s</w:t>
      </w:r>
      <w:r w:rsidR="00341B1F">
        <w:t xml:space="preserve"> should be in Tahoma, Calibri, Helvetica, Arial, Verdana, or Times New Roman and 11- or 12- point font with 1" margins on all sides and double-line spacing. </w:t>
      </w:r>
      <w:r w:rsidR="00162256">
        <w:t>W</w:t>
      </w:r>
      <w:r w:rsidR="0004263D">
        <w:t>rite-up</w:t>
      </w:r>
      <w:r w:rsidR="00162256">
        <w:t>s should be submitted</w:t>
      </w:r>
      <w:r w:rsidR="0004263D">
        <w:t xml:space="preserve"> as a Word document or a PDF file. Microsoft Office is available to all students for download at no extra cost through our website </w:t>
      </w:r>
      <w:hyperlink r:id="rId8" w:tgtFrame="_blank" w:history="1">
        <w:r w:rsidR="0004263D">
          <w:rPr>
            <w:rStyle w:val="Hyperlink"/>
          </w:rPr>
          <w:t>here</w:t>
        </w:r>
      </w:hyperlink>
      <w:r w:rsidR="00341B1F">
        <w:t>.</w:t>
      </w:r>
    </w:p>
    <w:p w14:paraId="69BA8A99" w14:textId="77777777" w:rsidR="002A0547" w:rsidRPr="004F43DA" w:rsidRDefault="002A0547" w:rsidP="00633718">
      <w:pPr>
        <w:pStyle w:val="Heading3"/>
      </w:pPr>
      <w:r w:rsidRPr="004F43DA">
        <w:lastRenderedPageBreak/>
        <w:t>Interpreting Descriptive Statistics</w:t>
      </w:r>
    </w:p>
    <w:p w14:paraId="3463FE54" w14:textId="77777777" w:rsidR="00633718" w:rsidRDefault="00633718" w:rsidP="00633718">
      <w:pPr>
        <w:pStyle w:val="NoSpacing"/>
      </w:pPr>
      <w:r>
        <w:t>Collection: geo2016</w:t>
      </w:r>
    </w:p>
    <w:p w14:paraId="7B20A1D2" w14:textId="77777777" w:rsidR="00633718" w:rsidRDefault="00633718" w:rsidP="00633718">
      <w:pPr>
        <w:pStyle w:val="NoSpacing"/>
      </w:pPr>
      <w:r>
        <w:t>Dataset: Earn</w:t>
      </w:r>
    </w:p>
    <w:p w14:paraId="2DECF62B" w14:textId="77777777" w:rsidR="00633718" w:rsidRDefault="00A12F82" w:rsidP="00633718">
      <w:pPr>
        <w:pStyle w:val="NoSpacing"/>
      </w:pPr>
      <w:r>
        <w:rPr>
          <w:noProof/>
        </w:rPr>
        <w:drawing>
          <wp:inline distT="0" distB="0" distL="0" distR="0" wp14:anchorId="66DD243E" wp14:editId="4CC45EE0">
            <wp:extent cx="5943600" cy="980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02-05 at 17-34-38 webchip.png"/>
                    <pic:cNvPicPr/>
                  </pic:nvPicPr>
                  <pic:blipFill>
                    <a:blip r:embed="rId9">
                      <a:extLst>
                        <a:ext uri="{28A0092B-C50C-407E-A947-70E740481C1C}">
                          <a14:useLocalDpi xmlns:a14="http://schemas.microsoft.com/office/drawing/2010/main" val="0"/>
                        </a:ext>
                      </a:extLst>
                    </a:blip>
                    <a:stretch>
                      <a:fillRect/>
                    </a:stretch>
                  </pic:blipFill>
                  <pic:spPr>
                    <a:xfrm>
                      <a:off x="0" y="0"/>
                      <a:ext cx="5943600" cy="980440"/>
                    </a:xfrm>
                    <a:prstGeom prst="rect">
                      <a:avLst/>
                    </a:prstGeom>
                  </pic:spPr>
                </pic:pic>
              </a:graphicData>
            </a:graphic>
          </wp:inline>
        </w:drawing>
      </w:r>
    </w:p>
    <w:p w14:paraId="76AC9347" w14:textId="77777777" w:rsidR="00633718" w:rsidRDefault="00A12F82" w:rsidP="00EB774E">
      <w:pPr>
        <w:pStyle w:val="Heading4"/>
      </w:pPr>
      <w:r>
        <w:t>Earn3 Variable Definitions</w:t>
      </w:r>
    </w:p>
    <w:p w14:paraId="559B0BD2" w14:textId="77777777" w:rsidR="00A12F82" w:rsidRDefault="00A12F82" w:rsidP="00633718">
      <w:pPr>
        <w:pStyle w:val="NoSpacing"/>
      </w:pPr>
      <w:r>
        <w:t>&lt;25K: Full-time, year-round workers age 16+ who earn less than $25,000 annually.</w:t>
      </w:r>
    </w:p>
    <w:p w14:paraId="38214909" w14:textId="77777777" w:rsidR="00A12F82" w:rsidRDefault="00A12F82" w:rsidP="00633718">
      <w:pPr>
        <w:pStyle w:val="NoSpacing"/>
      </w:pPr>
      <w:r>
        <w:t>25-34K: Full-time, year-round workers age 16+ who earn between $25,000 and $34,999 annually.</w:t>
      </w:r>
    </w:p>
    <w:p w14:paraId="6FFBBEA0" w14:textId="77777777" w:rsidR="00A12F82" w:rsidRDefault="00A12F82" w:rsidP="00633718">
      <w:pPr>
        <w:pStyle w:val="NoSpacing"/>
      </w:pPr>
      <w:r>
        <w:t>35-49K: Full-time, year-round workers age 16+ who earn between $35,000 and $49,999 annually.</w:t>
      </w:r>
    </w:p>
    <w:p w14:paraId="27CCF098" w14:textId="77777777" w:rsidR="00A12F82" w:rsidRDefault="00A12F82" w:rsidP="00633718">
      <w:pPr>
        <w:pStyle w:val="NoSpacing"/>
      </w:pPr>
      <w:r>
        <w:t>40-69K: Full-time, year-round workers age 16+ who earn between $50,000 and $69,999 annually,</w:t>
      </w:r>
    </w:p>
    <w:p w14:paraId="7C36C36B" w14:textId="77777777" w:rsidR="00A12F82" w:rsidRDefault="00A12F82" w:rsidP="00633718">
      <w:pPr>
        <w:pStyle w:val="NoSpacing"/>
      </w:pPr>
      <w:r>
        <w:t>70-99K:</w:t>
      </w:r>
      <w:r w:rsidRPr="00A12F82">
        <w:t xml:space="preserve"> </w:t>
      </w:r>
      <w:r>
        <w:t xml:space="preserve">Full-time, year-round workers age 16+ who earn between $70,000 and $99,999 annually. </w:t>
      </w:r>
    </w:p>
    <w:p w14:paraId="5BF3D5A8" w14:textId="77777777" w:rsidR="00EB774E" w:rsidRDefault="00A12F82" w:rsidP="00633718">
      <w:pPr>
        <w:pStyle w:val="NoSpacing"/>
      </w:pPr>
      <w:r>
        <w:t>100K: Full-time, year-round workers age 16+ who earn $100,000 or more annually.</w:t>
      </w:r>
    </w:p>
    <w:p w14:paraId="34587C8D" w14:textId="77777777" w:rsidR="00345A97" w:rsidRDefault="00345A97" w:rsidP="00EB774E">
      <w:pPr>
        <w:pStyle w:val="Heading5"/>
        <w:rPr>
          <w:b/>
        </w:rPr>
      </w:pPr>
    </w:p>
    <w:p w14:paraId="41AF03FD" w14:textId="77777777" w:rsidR="00EB774E" w:rsidRDefault="00EB774E" w:rsidP="00EB774E">
      <w:pPr>
        <w:pStyle w:val="Heading5"/>
      </w:pPr>
      <w:r w:rsidRPr="00EB774E">
        <w:rPr>
          <w:b/>
        </w:rPr>
        <w:t xml:space="preserve">Question </w:t>
      </w:r>
      <w:r w:rsidR="004D0CDF">
        <w:rPr>
          <w:b/>
        </w:rPr>
        <w:t>#</w:t>
      </w:r>
      <w:r w:rsidRPr="00EB774E">
        <w:rPr>
          <w:b/>
        </w:rPr>
        <w:t xml:space="preserve">1: </w:t>
      </w:r>
      <w:r>
        <w:t>Using the table above, how many (raw counts) full time, year-round workers who are 16 years old or older earn</w:t>
      </w:r>
      <w:r w:rsidR="007A2AAD">
        <w:t>ed</w:t>
      </w:r>
      <w:r>
        <w:t xml:space="preserve"> </w:t>
      </w:r>
      <w:r w:rsidR="007A2AAD">
        <w:t>$100,000 or more</w:t>
      </w:r>
      <w:r>
        <w:t xml:space="preserve"> in the U.S. in 2016?</w:t>
      </w:r>
    </w:p>
    <w:p w14:paraId="7238E7C9" w14:textId="73996945" w:rsidR="00EB774E" w:rsidRDefault="00EB774E" w:rsidP="00EB774E"/>
    <w:p w14:paraId="5F686650" w14:textId="77777777" w:rsidR="0046684C" w:rsidRPr="00EB774E" w:rsidRDefault="0046684C" w:rsidP="00EB774E"/>
    <w:p w14:paraId="715DA62B" w14:textId="77777777" w:rsidR="00D70E2E" w:rsidRDefault="00D70E2E" w:rsidP="00D70E2E">
      <w:pPr>
        <w:pStyle w:val="NoSpacing"/>
      </w:pPr>
      <w:r>
        <w:t>Collection: geo2016</w:t>
      </w:r>
    </w:p>
    <w:p w14:paraId="0C20F2EC" w14:textId="197949C3" w:rsidR="00A12F82" w:rsidRDefault="00D70E2E" w:rsidP="00633718">
      <w:pPr>
        <w:pStyle w:val="NoSpacing"/>
      </w:pPr>
      <w:r>
        <w:t xml:space="preserve">Dataset: </w:t>
      </w:r>
      <w:proofErr w:type="spellStart"/>
      <w:r>
        <w:t>AgeWork</w:t>
      </w:r>
      <w:proofErr w:type="spellEnd"/>
    </w:p>
    <w:p w14:paraId="67140699" w14:textId="77777777" w:rsidR="00A12F82" w:rsidRDefault="00A12F82" w:rsidP="00633718">
      <w:pPr>
        <w:pStyle w:val="NoSpacing"/>
      </w:pPr>
      <w:r>
        <w:rPr>
          <w:noProof/>
        </w:rPr>
        <w:drawing>
          <wp:inline distT="0" distB="0" distL="0" distR="0" wp14:anchorId="247896FC" wp14:editId="414512B2">
            <wp:extent cx="59436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4-02-05 at 17-34-25 webchip.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914400"/>
                    </a:xfrm>
                    <a:prstGeom prst="rect">
                      <a:avLst/>
                    </a:prstGeom>
                  </pic:spPr>
                </pic:pic>
              </a:graphicData>
            </a:graphic>
          </wp:inline>
        </w:drawing>
      </w:r>
    </w:p>
    <w:p w14:paraId="064E04A3" w14:textId="77777777" w:rsidR="00633718" w:rsidRDefault="00EB774E" w:rsidP="00EB774E">
      <w:pPr>
        <w:pStyle w:val="Heading4"/>
      </w:pPr>
      <w:proofErr w:type="spellStart"/>
      <w:r>
        <w:t>AgeWork</w:t>
      </w:r>
      <w:proofErr w:type="spellEnd"/>
      <w:r>
        <w:t xml:space="preserve"> Variable Definitions</w:t>
      </w:r>
    </w:p>
    <w:p w14:paraId="7A1487A6" w14:textId="77777777" w:rsidR="00A12F82" w:rsidRDefault="00A12F82" w:rsidP="00633718">
      <w:pPr>
        <w:pStyle w:val="NoSpacing"/>
      </w:pPr>
      <w:r w:rsidRPr="00A12F82">
        <w:t>16-24</w:t>
      </w:r>
      <w:r>
        <w:t xml:space="preserve">: </w:t>
      </w:r>
      <w:r w:rsidRPr="00A12F82">
        <w:t>Age of worker is between 16 and 24</w:t>
      </w:r>
    </w:p>
    <w:p w14:paraId="00A4F27B" w14:textId="77777777" w:rsidR="00A12F82" w:rsidRDefault="00A12F82" w:rsidP="00633718">
      <w:pPr>
        <w:pStyle w:val="NoSpacing"/>
      </w:pPr>
      <w:r w:rsidRPr="00A12F82">
        <w:t>25-34</w:t>
      </w:r>
      <w:r>
        <w:t xml:space="preserve">: </w:t>
      </w:r>
      <w:r w:rsidRPr="00A12F82">
        <w:t>Age of worker is between 25 and 34</w:t>
      </w:r>
    </w:p>
    <w:p w14:paraId="52F6FFDF" w14:textId="77777777" w:rsidR="00A12F82" w:rsidRDefault="00A12F82" w:rsidP="00633718">
      <w:pPr>
        <w:pStyle w:val="NoSpacing"/>
      </w:pPr>
      <w:r w:rsidRPr="00A12F82">
        <w:t>35-44</w:t>
      </w:r>
      <w:r>
        <w:t xml:space="preserve">: </w:t>
      </w:r>
      <w:r w:rsidRPr="00A12F82">
        <w:t>Age of worker is between 35 and 44</w:t>
      </w:r>
    </w:p>
    <w:p w14:paraId="68C2E7C6" w14:textId="77777777" w:rsidR="00A12F82" w:rsidRDefault="00A12F82" w:rsidP="00633718">
      <w:pPr>
        <w:pStyle w:val="NoSpacing"/>
      </w:pPr>
      <w:r w:rsidRPr="00A12F82">
        <w:t>45-54</w:t>
      </w:r>
      <w:r>
        <w:t xml:space="preserve">: </w:t>
      </w:r>
      <w:r w:rsidRPr="00A12F82">
        <w:t>Age of worker is between 45 and 54</w:t>
      </w:r>
    </w:p>
    <w:p w14:paraId="18429377" w14:textId="77777777" w:rsidR="00A12F82" w:rsidRDefault="00A12F82" w:rsidP="00633718">
      <w:pPr>
        <w:pStyle w:val="NoSpacing"/>
      </w:pPr>
      <w:r w:rsidRPr="00A12F82">
        <w:t>55-6</w:t>
      </w:r>
      <w:r>
        <w:t xml:space="preserve">4: </w:t>
      </w:r>
      <w:r w:rsidRPr="00A12F82">
        <w:t>Age of worker is between 55 and 64</w:t>
      </w:r>
    </w:p>
    <w:p w14:paraId="4D1FEB5C" w14:textId="77777777" w:rsidR="00A12F82" w:rsidRDefault="00A12F82" w:rsidP="00633718">
      <w:pPr>
        <w:pStyle w:val="NoSpacing"/>
      </w:pPr>
      <w:r>
        <w:t xml:space="preserve">65+: </w:t>
      </w:r>
      <w:r w:rsidRPr="00A12F82">
        <w:t>Age of worker is</w:t>
      </w:r>
      <w:r w:rsidR="00800077">
        <w:t xml:space="preserve"> 65 or </w:t>
      </w:r>
      <w:r w:rsidR="00EB774E">
        <w:t>older</w:t>
      </w:r>
    </w:p>
    <w:p w14:paraId="5C950BED" w14:textId="77777777" w:rsidR="00345A97" w:rsidRDefault="00345A97" w:rsidP="00EB774E">
      <w:pPr>
        <w:pStyle w:val="Heading5"/>
        <w:rPr>
          <w:b/>
        </w:rPr>
      </w:pPr>
    </w:p>
    <w:p w14:paraId="5CF76554" w14:textId="77777777" w:rsidR="00EB774E" w:rsidRDefault="00EB774E" w:rsidP="00EB774E">
      <w:pPr>
        <w:pStyle w:val="Heading5"/>
      </w:pPr>
      <w:r w:rsidRPr="00EB774E">
        <w:rPr>
          <w:b/>
        </w:rPr>
        <w:t xml:space="preserve">Question </w:t>
      </w:r>
      <w:r w:rsidR="004D0CDF">
        <w:rPr>
          <w:b/>
        </w:rPr>
        <w:t>#</w:t>
      </w:r>
      <w:r>
        <w:rPr>
          <w:b/>
        </w:rPr>
        <w:t>2</w:t>
      </w:r>
      <w:r>
        <w:t xml:space="preserve">: Using the table above, what percent of workers in the U.S. were 65 years old or older in 2016? </w:t>
      </w:r>
    </w:p>
    <w:p w14:paraId="19F72661" w14:textId="77777777" w:rsidR="00EB774E" w:rsidRDefault="00EB774E" w:rsidP="00633718">
      <w:pPr>
        <w:pStyle w:val="NoSpacing"/>
      </w:pPr>
    </w:p>
    <w:p w14:paraId="32D0A300" w14:textId="77777777" w:rsidR="00EB774E" w:rsidRDefault="00EB774E" w:rsidP="00633718">
      <w:pPr>
        <w:pStyle w:val="NoSpacing"/>
      </w:pPr>
    </w:p>
    <w:p w14:paraId="0909F7F7" w14:textId="77777777" w:rsidR="00EB774E" w:rsidRDefault="00EB774E" w:rsidP="00633718">
      <w:pPr>
        <w:pStyle w:val="NoSpacing"/>
      </w:pPr>
    </w:p>
    <w:p w14:paraId="5E7A84B6" w14:textId="77777777" w:rsidR="00EB774E" w:rsidRDefault="00EB774E" w:rsidP="00633718">
      <w:pPr>
        <w:pStyle w:val="NoSpacing"/>
      </w:pPr>
      <w:r>
        <w:t xml:space="preserve">Please participate in the </w:t>
      </w:r>
      <w:proofErr w:type="spellStart"/>
      <w:r>
        <w:t>PollEverywhere</w:t>
      </w:r>
      <w:proofErr w:type="spellEnd"/>
      <w:r>
        <w:t xml:space="preserve"> activity now to check our learning!</w:t>
      </w:r>
    </w:p>
    <w:p w14:paraId="1D422CFC" w14:textId="77777777" w:rsidR="00EB774E" w:rsidRPr="00FB0C58" w:rsidRDefault="00EB774E" w:rsidP="00EB774E">
      <w:pPr>
        <w:pStyle w:val="NoSpacing"/>
        <w:numPr>
          <w:ilvl w:val="0"/>
          <w:numId w:val="3"/>
        </w:numPr>
      </w:pPr>
      <w:r w:rsidRPr="00FB0C58">
        <w:t>Almost 25 million full-time, year-round workers age 16 or older earned less than $25,000 in 2016. [True / False]</w:t>
      </w:r>
    </w:p>
    <w:p w14:paraId="0EC4847C" w14:textId="77777777" w:rsidR="00EB774E" w:rsidRPr="00FB0C58" w:rsidRDefault="00EB774E" w:rsidP="00EB774E">
      <w:pPr>
        <w:pStyle w:val="NoSpacing"/>
        <w:numPr>
          <w:ilvl w:val="0"/>
          <w:numId w:val="3"/>
        </w:numPr>
      </w:pPr>
      <w:r w:rsidRPr="00FB0C58">
        <w:t>About 25% of workers were between the ages of 45 and 54 in 2016. [True / False]</w:t>
      </w:r>
    </w:p>
    <w:p w14:paraId="241B40B8" w14:textId="77777777" w:rsidR="004D0CDF" w:rsidRDefault="004D0CDF" w:rsidP="004D0CDF">
      <w:pPr>
        <w:pStyle w:val="Heading5"/>
      </w:pPr>
      <w:r w:rsidRPr="0060601E">
        <w:rPr>
          <w:b/>
        </w:rPr>
        <w:lastRenderedPageBreak/>
        <w:t>Question #3:</w:t>
      </w:r>
      <w:r>
        <w:t xml:space="preserve"> What is the difference between raw counts and percentages? </w:t>
      </w:r>
    </w:p>
    <w:p w14:paraId="448EAB1C" w14:textId="77777777" w:rsidR="004D0CDF" w:rsidRDefault="004D0CDF" w:rsidP="004D0CDF"/>
    <w:p w14:paraId="304729F7" w14:textId="77777777" w:rsidR="004D0CDF" w:rsidRDefault="004D0CDF" w:rsidP="004D0CDF"/>
    <w:p w14:paraId="3521A593" w14:textId="77777777" w:rsidR="004D0CDF" w:rsidRDefault="004D0CDF" w:rsidP="004D0CDF">
      <w:pPr>
        <w:pStyle w:val="Heading5"/>
      </w:pPr>
    </w:p>
    <w:p w14:paraId="66D9BEC2" w14:textId="77777777" w:rsidR="004D0CDF" w:rsidRDefault="004D0CDF" w:rsidP="004D0CDF">
      <w:pPr>
        <w:pStyle w:val="Heading5"/>
      </w:pPr>
      <w:r w:rsidRPr="0060601E">
        <w:rPr>
          <w:b/>
        </w:rPr>
        <w:t>Question #4:</w:t>
      </w:r>
      <w:r>
        <w:t xml:space="preserve"> Why would we use raw counts sometimes and percentages in other cases? </w:t>
      </w:r>
    </w:p>
    <w:p w14:paraId="4A7807D2" w14:textId="77777777" w:rsidR="004D0CDF" w:rsidRDefault="004D0CDF" w:rsidP="004D0CDF">
      <w:pPr>
        <w:pStyle w:val="NoSpacing"/>
      </w:pPr>
    </w:p>
    <w:p w14:paraId="79D0D9FA" w14:textId="77777777" w:rsidR="004D0CDF" w:rsidRDefault="004D0CDF" w:rsidP="004D0CDF">
      <w:pPr>
        <w:pStyle w:val="NoSpacing"/>
      </w:pPr>
    </w:p>
    <w:p w14:paraId="5C475217" w14:textId="77777777" w:rsidR="004D0CDF" w:rsidRDefault="004D0CDF" w:rsidP="004D0CDF">
      <w:pPr>
        <w:pStyle w:val="NoSpacing"/>
      </w:pPr>
    </w:p>
    <w:p w14:paraId="37252961" w14:textId="77777777" w:rsidR="004D0CDF" w:rsidRDefault="004D0CDF" w:rsidP="004D0CDF">
      <w:pPr>
        <w:pStyle w:val="NoSpacing"/>
      </w:pPr>
    </w:p>
    <w:p w14:paraId="27B12CBB" w14:textId="77777777" w:rsidR="004D0CDF" w:rsidRDefault="004D0CDF" w:rsidP="004D0CDF">
      <w:pPr>
        <w:pStyle w:val="NoSpacing"/>
      </w:pPr>
    </w:p>
    <w:p w14:paraId="530DC824" w14:textId="77777777" w:rsidR="00345A97" w:rsidRDefault="00345A97" w:rsidP="00345A97">
      <w:r>
        <w:rPr>
          <w:noProof/>
        </w:rPr>
        <w:drawing>
          <wp:inline distT="0" distB="0" distL="0" distR="0" wp14:anchorId="11EB05A4" wp14:editId="0044294B">
            <wp:extent cx="5943600" cy="16471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4-02-05 at 17-32-43 webchip.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1647190"/>
                    </a:xfrm>
                    <a:prstGeom prst="rect">
                      <a:avLst/>
                    </a:prstGeom>
                  </pic:spPr>
                </pic:pic>
              </a:graphicData>
            </a:graphic>
          </wp:inline>
        </w:drawing>
      </w:r>
    </w:p>
    <w:p w14:paraId="52C3EE7C" w14:textId="77777777" w:rsidR="00345A97" w:rsidRDefault="00345A97" w:rsidP="00345A97">
      <w:r>
        <w:t xml:space="preserve">Sample Interpretation #1: Of those full-time, year-round workers age 16+ who earned less than $25,000 in 2016, </w:t>
      </w:r>
      <w:r w:rsidR="007A2AAD">
        <w:t>17.3</w:t>
      </w:r>
      <w:r>
        <w:t xml:space="preserve">% were between the ages of </w:t>
      </w:r>
      <w:r w:rsidR="007A2AAD">
        <w:t>16</w:t>
      </w:r>
      <w:r>
        <w:t xml:space="preserve"> and </w:t>
      </w:r>
      <w:r w:rsidR="007A2AAD">
        <w:t>24</w:t>
      </w:r>
      <w:r>
        <w:t xml:space="preserve"> years old.</w:t>
      </w:r>
    </w:p>
    <w:p w14:paraId="41A0E9FB" w14:textId="77777777" w:rsidR="00345A97" w:rsidRDefault="00345A97" w:rsidP="00345A97">
      <w:r>
        <w:t>Sample Interpretation #2: Of those</w:t>
      </w:r>
      <w:r w:rsidRPr="00345A97">
        <w:t xml:space="preserve"> </w:t>
      </w:r>
      <w:r>
        <w:t>full-time, year-round workers age 16+ who earned $100,000 or more in 2016, 5% were 65 years old or older.</w:t>
      </w:r>
    </w:p>
    <w:p w14:paraId="553D2157" w14:textId="77777777" w:rsidR="00D70626" w:rsidRDefault="00345A97" w:rsidP="00345A97">
      <w:pPr>
        <w:pStyle w:val="Heading5"/>
      </w:pPr>
      <w:r w:rsidRPr="0060601E">
        <w:rPr>
          <w:b/>
        </w:rPr>
        <w:t>Question #</w:t>
      </w:r>
      <w:r w:rsidR="004D0CDF" w:rsidRPr="0060601E">
        <w:rPr>
          <w:b/>
        </w:rPr>
        <w:t>5</w:t>
      </w:r>
      <w:r w:rsidRPr="0060601E">
        <w:rPr>
          <w:b/>
        </w:rPr>
        <w:t>:</w:t>
      </w:r>
      <w:r>
        <w:t xml:space="preserve"> What percent of those who earned between $35,000 and $49,999 in 2016 were between the ages of 35 and 44 years old?</w:t>
      </w:r>
      <w:r w:rsidR="00CB4D7A">
        <w:br/>
      </w:r>
      <w:r w:rsidR="00CB4D7A">
        <w:br/>
      </w:r>
    </w:p>
    <w:p w14:paraId="2534FAAC" w14:textId="77777777" w:rsidR="00345A97" w:rsidRDefault="00CB4D7A" w:rsidP="00345A97">
      <w:pPr>
        <w:pStyle w:val="Heading5"/>
      </w:pPr>
      <w:r>
        <w:br/>
      </w:r>
    </w:p>
    <w:p w14:paraId="7C8159D2" w14:textId="77777777" w:rsidR="00345A97" w:rsidRDefault="00345A97" w:rsidP="00345A97">
      <w:r>
        <w:rPr>
          <w:noProof/>
        </w:rPr>
        <w:drawing>
          <wp:inline distT="0" distB="0" distL="0" distR="0" wp14:anchorId="51F0C503" wp14:editId="1CC2E8B9">
            <wp:extent cx="5943600" cy="16630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4-02-05 at 17-32-29 webchip.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1663065"/>
                    </a:xfrm>
                    <a:prstGeom prst="rect">
                      <a:avLst/>
                    </a:prstGeom>
                  </pic:spPr>
                </pic:pic>
              </a:graphicData>
            </a:graphic>
          </wp:inline>
        </w:drawing>
      </w:r>
    </w:p>
    <w:p w14:paraId="095FB61E" w14:textId="77777777" w:rsidR="00345A97" w:rsidRDefault="00345A97" w:rsidP="00345A97">
      <w:r>
        <w:t xml:space="preserve">Sample Interpretation #1: </w:t>
      </w:r>
      <w:r w:rsidR="007F0FE8">
        <w:t xml:space="preserve">58% of </w:t>
      </w:r>
      <w:r w:rsidR="007F0FE8" w:rsidRPr="00A12F82">
        <w:t>worker</w:t>
      </w:r>
      <w:r w:rsidR="007F0FE8">
        <w:t>s aged 16</w:t>
      </w:r>
      <w:r w:rsidR="007A2AAD">
        <w:t xml:space="preserve"> to </w:t>
      </w:r>
      <w:r w:rsidR="007F0FE8">
        <w:t xml:space="preserve">24 years old earned less than $25,000 in 2016. </w:t>
      </w:r>
    </w:p>
    <w:p w14:paraId="37DA54DF" w14:textId="77777777" w:rsidR="00345A97" w:rsidRDefault="00345A97" w:rsidP="00345A97">
      <w:r>
        <w:t xml:space="preserve">Sample Interpretation #2: </w:t>
      </w:r>
      <w:r w:rsidR="007F0FE8">
        <w:t>16.4% of workers age 65 and older earned $100,000 or more in 2016</w:t>
      </w:r>
      <w:r>
        <w:t>.</w:t>
      </w:r>
    </w:p>
    <w:p w14:paraId="4DF6BCC9" w14:textId="77777777" w:rsidR="00345A97" w:rsidRDefault="00345A97" w:rsidP="00345A97">
      <w:pPr>
        <w:pStyle w:val="Heading5"/>
      </w:pPr>
      <w:r w:rsidRPr="0060601E">
        <w:rPr>
          <w:b/>
        </w:rPr>
        <w:lastRenderedPageBreak/>
        <w:t>Question #</w:t>
      </w:r>
      <w:r w:rsidR="004D0CDF" w:rsidRPr="0060601E">
        <w:rPr>
          <w:b/>
        </w:rPr>
        <w:t>6</w:t>
      </w:r>
      <w:r w:rsidRPr="0060601E">
        <w:rPr>
          <w:b/>
        </w:rPr>
        <w:t>:</w:t>
      </w:r>
      <w:r>
        <w:t xml:space="preserve"> What percent of those </w:t>
      </w:r>
      <w:r w:rsidR="007A2AAD">
        <w:t xml:space="preserve">between the ages of 35 and 44 years old </w:t>
      </w:r>
      <w:r>
        <w:t>earned between $35,000 and $49,999 in 2016</w:t>
      </w:r>
      <w:r w:rsidR="007A2AAD">
        <w:t>?</w:t>
      </w:r>
    </w:p>
    <w:p w14:paraId="0DB559B1" w14:textId="77777777" w:rsidR="007A2AAD" w:rsidRDefault="007A2AAD" w:rsidP="007A2AAD"/>
    <w:p w14:paraId="013E99A5" w14:textId="77777777" w:rsidR="007A2AAD" w:rsidRDefault="007A2AAD" w:rsidP="007A2AAD"/>
    <w:p w14:paraId="59990736" w14:textId="77777777" w:rsidR="00D70626" w:rsidRDefault="00D70626" w:rsidP="007A2AAD"/>
    <w:p w14:paraId="5EB68C44" w14:textId="77777777" w:rsidR="007A2AAD" w:rsidRDefault="007A2AAD" w:rsidP="007A2AAD">
      <w:pPr>
        <w:pStyle w:val="NoSpacing"/>
      </w:pPr>
      <w:r>
        <w:t xml:space="preserve">Please participate in the </w:t>
      </w:r>
      <w:proofErr w:type="spellStart"/>
      <w:r>
        <w:t>PollEverywhere</w:t>
      </w:r>
      <w:proofErr w:type="spellEnd"/>
      <w:r>
        <w:t xml:space="preserve"> activity now to check our learning!</w:t>
      </w:r>
    </w:p>
    <w:p w14:paraId="1C2FF65B" w14:textId="77777777" w:rsidR="007A2AAD" w:rsidRDefault="00CD15C7" w:rsidP="007A2AAD">
      <w:pPr>
        <w:pStyle w:val="NoSpacing"/>
        <w:numPr>
          <w:ilvl w:val="0"/>
          <w:numId w:val="4"/>
        </w:numPr>
      </w:pPr>
      <w:r>
        <w:t>4.4% of those 65 years old or older earned less than $25,000 in 2016</w:t>
      </w:r>
      <w:r w:rsidR="007A2AAD">
        <w:t xml:space="preserve"> [True / </w:t>
      </w:r>
      <w:r w:rsidR="007A2AAD" w:rsidRPr="00FB0C58">
        <w:t>False]</w:t>
      </w:r>
    </w:p>
    <w:p w14:paraId="770AB8E1" w14:textId="68B80F77" w:rsidR="00640D6C" w:rsidRDefault="00640D6C" w:rsidP="00640D6C">
      <w:pPr>
        <w:pStyle w:val="NoSpacing"/>
        <w:numPr>
          <w:ilvl w:val="0"/>
          <w:numId w:val="4"/>
        </w:numPr>
      </w:pPr>
      <w:r>
        <w:t>24% of those who earned $35,000 - $49,</w:t>
      </w:r>
      <w:r w:rsidR="00924216">
        <w:t>999</w:t>
      </w:r>
      <w:r>
        <w:t xml:space="preserve"> in 2016 were between the ages of 35 and 44 years old. [</w:t>
      </w:r>
      <w:r w:rsidRPr="00FB0C58">
        <w:t>True</w:t>
      </w:r>
      <w:r>
        <w:t xml:space="preserve"> / False]</w:t>
      </w:r>
    </w:p>
    <w:p w14:paraId="716375F0" w14:textId="77777777" w:rsidR="004D0CDF" w:rsidRDefault="004D0CDF" w:rsidP="00D70626">
      <w:pPr>
        <w:pStyle w:val="Heading3"/>
      </w:pPr>
    </w:p>
    <w:p w14:paraId="0FB06F1A" w14:textId="77777777" w:rsidR="007A2AAD" w:rsidRPr="007B221B" w:rsidRDefault="00D70626" w:rsidP="007B221B">
      <w:pPr>
        <w:pStyle w:val="Heading3"/>
      </w:pPr>
      <w:r>
        <w:t>DIY Activity!</w:t>
      </w:r>
    </w:p>
    <w:p w14:paraId="7EA2F61C" w14:textId="77777777" w:rsidR="00D70626" w:rsidRDefault="00D70626" w:rsidP="00345A97">
      <w:r>
        <w:t xml:space="preserve">Go to </w:t>
      </w:r>
      <w:hyperlink r:id="rId13" w:history="1">
        <w:r w:rsidRPr="00995BD5">
          <w:rPr>
            <w:rStyle w:val="Hyperlink"/>
          </w:rPr>
          <w:t>https://ssdan.net/datacounts/webchip/</w:t>
        </w:r>
      </w:hyperlink>
      <w:r>
        <w:t xml:space="preserve"> </w:t>
      </w:r>
      <w:r w:rsidR="00EC67B9">
        <w:t xml:space="preserve">    </w:t>
      </w:r>
    </w:p>
    <w:p w14:paraId="4CC87CD1" w14:textId="77777777" w:rsidR="00735FF8" w:rsidRDefault="004D0CDF" w:rsidP="00345A97">
      <w:r>
        <w:t>Collection: acs2016trend</w:t>
      </w:r>
    </w:p>
    <w:p w14:paraId="42694673" w14:textId="77777777" w:rsidR="004D0CDF" w:rsidRDefault="004D0CDF" w:rsidP="00345A97">
      <w:r>
        <w:t>Dataset: Elderly</w:t>
      </w:r>
    </w:p>
    <w:p w14:paraId="5BC09287" w14:textId="77777777" w:rsidR="008C177A" w:rsidRDefault="008C177A" w:rsidP="00345A97">
      <w:r>
        <w:t xml:space="preserve">Here is a link to the variable glossary: </w:t>
      </w:r>
      <w:hyperlink r:id="rId14" w:history="1">
        <w:r w:rsidRPr="00995BD5">
          <w:rPr>
            <w:rStyle w:val="Hyperlink"/>
          </w:rPr>
          <w:t>https://ssdan.net/variable-glossary/</w:t>
        </w:r>
      </w:hyperlink>
      <w:r>
        <w:t xml:space="preserve"> You will need to identify the two variables available in this dataset that would have the information you need to answer the question below. </w:t>
      </w:r>
    </w:p>
    <w:p w14:paraId="05C21C57" w14:textId="77777777" w:rsidR="004D0CDF" w:rsidRDefault="004D0CDF" w:rsidP="004D0CDF">
      <w:pPr>
        <w:pStyle w:val="Heading5"/>
      </w:pPr>
      <w:r w:rsidRPr="0060601E">
        <w:rPr>
          <w:b/>
        </w:rPr>
        <w:t>Question #7:</w:t>
      </w:r>
      <w:r>
        <w:t xml:space="preserve"> What percent of elderly (i.e., 65 years and older) female respondents were widowed in 2016?</w:t>
      </w:r>
    </w:p>
    <w:p w14:paraId="02C5DA2D" w14:textId="77777777" w:rsidR="008C177A" w:rsidRDefault="008C177A" w:rsidP="008C177A"/>
    <w:p w14:paraId="7B4F9609" w14:textId="77777777" w:rsidR="008C177A" w:rsidRDefault="008C177A" w:rsidP="008C177A"/>
    <w:p w14:paraId="373BBF20" w14:textId="77777777" w:rsidR="008C177A" w:rsidRDefault="008C177A" w:rsidP="008C177A"/>
    <w:p w14:paraId="0A1FEFBE" w14:textId="77777777" w:rsidR="008C177A" w:rsidRDefault="008C177A" w:rsidP="008C177A"/>
    <w:p w14:paraId="063CF995" w14:textId="77777777" w:rsidR="008C177A" w:rsidRDefault="008C177A" w:rsidP="008C177A">
      <w:pPr>
        <w:pStyle w:val="Heading5"/>
      </w:pPr>
      <w:r w:rsidRPr="0060601E">
        <w:rPr>
          <w:b/>
        </w:rPr>
        <w:t>Question #8:</w:t>
      </w:r>
      <w:r>
        <w:t xml:space="preserve"> Let’s make a data visualization! </w:t>
      </w:r>
      <w:r w:rsidR="008E0D08">
        <w:t xml:space="preserve">Can you represent your findings as a bar chart? </w:t>
      </w:r>
    </w:p>
    <w:p w14:paraId="6C3F8D63" w14:textId="77777777" w:rsidR="009168FB" w:rsidRDefault="009168FB" w:rsidP="009168FB"/>
    <w:p w14:paraId="5D1FFB03" w14:textId="77777777" w:rsidR="009168FB" w:rsidRDefault="009168FB" w:rsidP="009168FB"/>
    <w:p w14:paraId="2EED793C" w14:textId="77777777" w:rsidR="009168FB" w:rsidRDefault="009168FB" w:rsidP="009168FB"/>
    <w:p w14:paraId="6750AFC9" w14:textId="77777777" w:rsidR="00D54D5C" w:rsidRDefault="00D54D5C" w:rsidP="001A2603"/>
    <w:p w14:paraId="1D74ACAE" w14:textId="77777777" w:rsidR="007B221B" w:rsidRDefault="007B221B">
      <w:r>
        <w:br w:type="page"/>
      </w:r>
    </w:p>
    <w:p w14:paraId="20114FF4" w14:textId="77777777" w:rsidR="007B221B" w:rsidRDefault="007B221B" w:rsidP="007B221B">
      <w:pPr>
        <w:pStyle w:val="Heading3"/>
      </w:pPr>
      <w:r>
        <w:lastRenderedPageBreak/>
        <w:t>Original Research Project Assignment</w:t>
      </w:r>
    </w:p>
    <w:p w14:paraId="5334F4B8" w14:textId="77777777" w:rsidR="007B221B" w:rsidRDefault="007B221B" w:rsidP="007B221B">
      <w:r>
        <w:t xml:space="preserve">Now that you’re feeling comfortable with both interpreting and producing bivariate tables using the </w:t>
      </w:r>
      <w:proofErr w:type="spellStart"/>
      <w:r>
        <w:t>WebCHIP</w:t>
      </w:r>
      <w:proofErr w:type="spellEnd"/>
      <w:r>
        <w:t xml:space="preserve"> data tool from SSDAN, let’s do our own research projects! You are welcome to sift through all of the existing data collections and data sets for variables related to our course topic. Alternatively, at the end of this packet, I’ve developed a list of potential </w:t>
      </w:r>
      <w:r w:rsidR="003A6835">
        <w:t xml:space="preserve">interesting variables if, like me, you get overwhelmed by so many data collections and the lacking infrastructure to help you easily and quickly navigate the </w:t>
      </w:r>
      <w:proofErr w:type="spellStart"/>
      <w:r w:rsidR="003A6835">
        <w:t>WebCHIP</w:t>
      </w:r>
      <w:proofErr w:type="spellEnd"/>
      <w:r w:rsidR="003A6835">
        <w:t xml:space="preserve"> system. </w:t>
      </w:r>
    </w:p>
    <w:p w14:paraId="319D0FB6" w14:textId="77777777" w:rsidR="003A6835" w:rsidRDefault="003A6835" w:rsidP="007B221B"/>
    <w:p w14:paraId="71707CED" w14:textId="77777777" w:rsidR="003A6835" w:rsidRDefault="003A6835" w:rsidP="003A6835">
      <w:pPr>
        <w:pStyle w:val="Heading4"/>
        <w:numPr>
          <w:ilvl w:val="0"/>
          <w:numId w:val="6"/>
        </w:numPr>
      </w:pPr>
      <w:r>
        <w:t>What collection will</w:t>
      </w:r>
      <w:r w:rsidR="00162256">
        <w:t xml:space="preserve"> you</w:t>
      </w:r>
      <w:r>
        <w:t xml:space="preserve"> be using?</w:t>
      </w:r>
      <w:r w:rsidR="002D6A6D">
        <w:br/>
      </w:r>
    </w:p>
    <w:p w14:paraId="037578B4" w14:textId="77777777" w:rsidR="003A6835" w:rsidRDefault="003A6835" w:rsidP="003A6835">
      <w:pPr>
        <w:pStyle w:val="Heading4"/>
        <w:numPr>
          <w:ilvl w:val="0"/>
          <w:numId w:val="6"/>
        </w:numPr>
      </w:pPr>
      <w:r>
        <w:t xml:space="preserve">What data set will </w:t>
      </w:r>
      <w:r w:rsidR="00162256">
        <w:t xml:space="preserve">you </w:t>
      </w:r>
      <w:r>
        <w:t>be drawing from?</w:t>
      </w:r>
      <w:r w:rsidR="002D6A6D">
        <w:br/>
      </w:r>
    </w:p>
    <w:p w14:paraId="4CA43462" w14:textId="77777777" w:rsidR="003A6835" w:rsidRDefault="003A6835" w:rsidP="003A6835">
      <w:pPr>
        <w:pStyle w:val="Heading4"/>
        <w:numPr>
          <w:ilvl w:val="0"/>
          <w:numId w:val="6"/>
        </w:numPr>
      </w:pPr>
      <w:r>
        <w:t>What is your row variable?</w:t>
      </w:r>
      <w:r w:rsidR="002D6A6D">
        <w:br/>
      </w:r>
    </w:p>
    <w:p w14:paraId="527A66C5" w14:textId="77777777" w:rsidR="003A6835" w:rsidRDefault="003A6835" w:rsidP="003A6835">
      <w:pPr>
        <w:pStyle w:val="Heading4"/>
        <w:numPr>
          <w:ilvl w:val="0"/>
          <w:numId w:val="6"/>
        </w:numPr>
      </w:pPr>
      <w:r>
        <w:t>What is your column variable?</w:t>
      </w:r>
      <w:r w:rsidR="002D6A6D">
        <w:br/>
      </w:r>
    </w:p>
    <w:p w14:paraId="3CC5853C" w14:textId="77777777" w:rsidR="003A6835" w:rsidRDefault="003A6835" w:rsidP="003A6835">
      <w:pPr>
        <w:pStyle w:val="Heading4"/>
        <w:numPr>
          <w:ilvl w:val="0"/>
          <w:numId w:val="6"/>
        </w:numPr>
      </w:pPr>
      <w:r>
        <w:t>Will your percent be totaling across or down?</w:t>
      </w:r>
      <w:r w:rsidR="002D6A6D">
        <w:br/>
      </w:r>
    </w:p>
    <w:p w14:paraId="00951755" w14:textId="77777777" w:rsidR="00583321" w:rsidRDefault="003A6835" w:rsidP="00583321">
      <w:pPr>
        <w:pStyle w:val="Heading4"/>
        <w:numPr>
          <w:ilvl w:val="0"/>
          <w:numId w:val="6"/>
        </w:numPr>
      </w:pPr>
      <w:r>
        <w:t>Are you including any control variables? If so, which?</w:t>
      </w:r>
      <w:r w:rsidR="002D6A6D">
        <w:br/>
      </w:r>
    </w:p>
    <w:p w14:paraId="72ACC4C2" w14:textId="77777777" w:rsidR="002D6A6D" w:rsidRDefault="002D6A6D" w:rsidP="002D6A6D">
      <w:pPr>
        <w:pStyle w:val="Heading4"/>
        <w:numPr>
          <w:ilvl w:val="0"/>
          <w:numId w:val="6"/>
        </w:numPr>
      </w:pPr>
      <w:r>
        <w:t xml:space="preserve">Generate a table. Be sure to save or copy this down as you will need it for your final write-up. </w:t>
      </w:r>
      <w:r>
        <w:br/>
      </w:r>
    </w:p>
    <w:p w14:paraId="69053F1C" w14:textId="77777777" w:rsidR="002D6A6D" w:rsidRPr="002D6A6D" w:rsidRDefault="002D6A6D" w:rsidP="002D6A6D">
      <w:pPr>
        <w:pStyle w:val="Heading4"/>
        <w:numPr>
          <w:ilvl w:val="0"/>
          <w:numId w:val="6"/>
        </w:numPr>
      </w:pPr>
      <w:r>
        <w:t xml:space="preserve">Generate a data visual (e.g., bar, pie, line, stacked bar). Be sure to save or copy this down as you will need it for your final write-up. </w:t>
      </w:r>
      <w:r>
        <w:br/>
      </w:r>
    </w:p>
    <w:p w14:paraId="09530B7D" w14:textId="77777777" w:rsidR="002D6A6D" w:rsidRDefault="002D6A6D" w:rsidP="002D6A6D">
      <w:pPr>
        <w:pStyle w:val="Heading4"/>
        <w:numPr>
          <w:ilvl w:val="0"/>
          <w:numId w:val="6"/>
        </w:numPr>
      </w:pPr>
      <w:r>
        <w:t xml:space="preserve">Interpret your results (i.e., tell a story about the numbers using words). </w:t>
      </w:r>
      <w:r>
        <w:br/>
      </w:r>
    </w:p>
    <w:p w14:paraId="51EC669E" w14:textId="77777777" w:rsidR="002D6A6D" w:rsidRDefault="002D6A6D" w:rsidP="002D6A6D">
      <w:pPr>
        <w:pStyle w:val="Heading4"/>
        <w:numPr>
          <w:ilvl w:val="0"/>
          <w:numId w:val="6"/>
        </w:numPr>
      </w:pPr>
      <w:r>
        <w:t xml:space="preserve">Offer explanations based on what you’ve learned in class and any other outside research from scholarly or government sources (remember to cite!) about why we might see these trends (said differently, what are some likely explanations for why these social patterns occur). </w:t>
      </w:r>
      <w:r>
        <w:br/>
      </w:r>
    </w:p>
    <w:p w14:paraId="75299BAE" w14:textId="77777777" w:rsidR="002D6A6D" w:rsidRPr="002D6A6D" w:rsidRDefault="002D6A6D" w:rsidP="002D6A6D">
      <w:pPr>
        <w:pStyle w:val="Heading4"/>
        <w:numPr>
          <w:ilvl w:val="0"/>
          <w:numId w:val="6"/>
        </w:numPr>
      </w:pPr>
      <w:r>
        <w:t xml:space="preserve">Based on the trends and the theoretical framework you created above, what are the implications of these findings? What would you recommend based on these results? Is any action needed? If so, what? If not, why? </w:t>
      </w:r>
    </w:p>
    <w:p w14:paraId="58464BB5" w14:textId="77777777" w:rsidR="007B221B" w:rsidRDefault="007B221B" w:rsidP="00D54D5C">
      <w:pPr>
        <w:pStyle w:val="NoSpacing"/>
      </w:pPr>
    </w:p>
    <w:p w14:paraId="1BD3555E" w14:textId="77777777" w:rsidR="007B221B" w:rsidRDefault="007B221B">
      <w:r>
        <w:br w:type="page"/>
      </w:r>
    </w:p>
    <w:p w14:paraId="157EBF3B" w14:textId="77777777" w:rsidR="00D54D5C" w:rsidRDefault="00D54D5C" w:rsidP="00583321">
      <w:pPr>
        <w:pStyle w:val="Heading3"/>
      </w:pPr>
      <w:r>
        <w:lastRenderedPageBreak/>
        <w:t>SSDAN</w:t>
      </w:r>
      <w:r w:rsidR="00583321">
        <w:t xml:space="preserve"> </w:t>
      </w:r>
      <w:proofErr w:type="spellStart"/>
      <w:r w:rsidR="00583321">
        <w:t>WebCHIP</w:t>
      </w:r>
      <w:proofErr w:type="spellEnd"/>
      <w:r w:rsidR="00583321">
        <w:t xml:space="preserve"> </w:t>
      </w:r>
      <w:r w:rsidR="00D43814">
        <w:t xml:space="preserve">Data </w:t>
      </w:r>
      <w:r w:rsidR="00583321">
        <w:t>Ideas</w:t>
      </w:r>
      <w:r>
        <w:t xml:space="preserve"> </w:t>
      </w:r>
    </w:p>
    <w:p w14:paraId="3A7B0A3C" w14:textId="77777777" w:rsidR="007B221B" w:rsidRDefault="007B221B" w:rsidP="007B221B">
      <w:pPr>
        <w:pStyle w:val="NoSpacing"/>
      </w:pPr>
      <w:r>
        <w:t>Collection: acs2016trend</w:t>
      </w:r>
    </w:p>
    <w:p w14:paraId="1D44646F" w14:textId="77777777" w:rsidR="007B221B" w:rsidRDefault="007B221B" w:rsidP="007B221B">
      <w:pPr>
        <w:pStyle w:val="NoSpacing"/>
      </w:pPr>
      <w:r>
        <w:t>Dataset: educ</w:t>
      </w:r>
    </w:p>
    <w:p w14:paraId="63CDB87C" w14:textId="77777777" w:rsidR="007B221B" w:rsidRDefault="007B221B" w:rsidP="007B221B">
      <w:pPr>
        <w:pStyle w:val="NoSpacing"/>
      </w:pPr>
      <w:r>
        <w:t>Row: age</w:t>
      </w:r>
    </w:p>
    <w:p w14:paraId="662B55CB" w14:textId="77777777" w:rsidR="007B221B" w:rsidRDefault="007B221B" w:rsidP="007B221B">
      <w:pPr>
        <w:pStyle w:val="NoSpacing"/>
      </w:pPr>
      <w:r>
        <w:t>Column: educ</w:t>
      </w:r>
    </w:p>
    <w:p w14:paraId="27874A67" w14:textId="77777777" w:rsidR="007B221B" w:rsidRDefault="007B221B" w:rsidP="007B221B">
      <w:pPr>
        <w:pStyle w:val="NoSpacing"/>
      </w:pPr>
    </w:p>
    <w:p w14:paraId="0C3E1C5A" w14:textId="77777777" w:rsidR="007B221B" w:rsidRDefault="007B221B" w:rsidP="007B221B">
      <w:pPr>
        <w:pStyle w:val="NoSpacing"/>
      </w:pPr>
      <w:r>
        <w:t>Collection: acs2016trend</w:t>
      </w:r>
    </w:p>
    <w:p w14:paraId="45D24E62" w14:textId="77777777" w:rsidR="007B221B" w:rsidRDefault="007B221B" w:rsidP="007B221B">
      <w:pPr>
        <w:pStyle w:val="NoSpacing"/>
      </w:pPr>
      <w:r>
        <w:t xml:space="preserve">Dataset: </w:t>
      </w:r>
      <w:proofErr w:type="spellStart"/>
      <w:r>
        <w:t>educoccup</w:t>
      </w:r>
      <w:proofErr w:type="spellEnd"/>
    </w:p>
    <w:p w14:paraId="3015ED74" w14:textId="77777777" w:rsidR="007B221B" w:rsidRDefault="007B221B" w:rsidP="007B221B">
      <w:pPr>
        <w:pStyle w:val="NoSpacing"/>
      </w:pPr>
      <w:r>
        <w:t xml:space="preserve">Row: </w:t>
      </w:r>
      <w:proofErr w:type="spellStart"/>
      <w:r>
        <w:t>wkage</w:t>
      </w:r>
      <w:proofErr w:type="spellEnd"/>
    </w:p>
    <w:p w14:paraId="54434B8A" w14:textId="77777777" w:rsidR="007B221B" w:rsidRDefault="007B221B" w:rsidP="007B221B">
      <w:pPr>
        <w:pStyle w:val="NoSpacing"/>
      </w:pPr>
      <w:r>
        <w:t>Column: educ</w:t>
      </w:r>
    </w:p>
    <w:p w14:paraId="34B5C327" w14:textId="77777777" w:rsidR="007B221B" w:rsidRDefault="007B221B" w:rsidP="007B221B">
      <w:pPr>
        <w:pStyle w:val="NoSpacing"/>
      </w:pPr>
    </w:p>
    <w:p w14:paraId="3C0C76BA" w14:textId="77777777" w:rsidR="007B221B" w:rsidRDefault="007B221B" w:rsidP="007B221B">
      <w:pPr>
        <w:pStyle w:val="NoSpacing"/>
      </w:pPr>
      <w:r>
        <w:t>Collection: acs2016trend</w:t>
      </w:r>
    </w:p>
    <w:p w14:paraId="453382F4" w14:textId="77777777" w:rsidR="007B221B" w:rsidRDefault="007B221B" w:rsidP="007B221B">
      <w:pPr>
        <w:pStyle w:val="NoSpacing"/>
      </w:pPr>
      <w:r>
        <w:t xml:space="preserve">Dataset: </w:t>
      </w:r>
      <w:proofErr w:type="spellStart"/>
      <w:r>
        <w:t>poppov</w:t>
      </w:r>
      <w:proofErr w:type="spellEnd"/>
    </w:p>
    <w:p w14:paraId="6433AC1F" w14:textId="77777777" w:rsidR="007B221B" w:rsidRDefault="007B221B" w:rsidP="007B221B">
      <w:pPr>
        <w:pStyle w:val="NoSpacing"/>
      </w:pPr>
      <w:r>
        <w:t xml:space="preserve">Row: </w:t>
      </w:r>
      <w:proofErr w:type="spellStart"/>
      <w:r>
        <w:t>agepov</w:t>
      </w:r>
      <w:proofErr w:type="spellEnd"/>
    </w:p>
    <w:p w14:paraId="2D5F072A" w14:textId="77777777" w:rsidR="007B221B" w:rsidRDefault="007B221B" w:rsidP="007B221B">
      <w:pPr>
        <w:pStyle w:val="NoSpacing"/>
      </w:pPr>
      <w:r>
        <w:t>Column: sex</w:t>
      </w:r>
    </w:p>
    <w:p w14:paraId="31A2B14C" w14:textId="77777777" w:rsidR="007B221B" w:rsidRDefault="007B221B" w:rsidP="007B221B">
      <w:pPr>
        <w:pStyle w:val="NoSpacing"/>
      </w:pPr>
    </w:p>
    <w:p w14:paraId="49787EAF" w14:textId="77777777" w:rsidR="007B221B" w:rsidRDefault="007B221B" w:rsidP="007B221B">
      <w:pPr>
        <w:pStyle w:val="NoSpacing"/>
      </w:pPr>
      <w:r>
        <w:t>Collection: acs2016trend</w:t>
      </w:r>
    </w:p>
    <w:p w14:paraId="2EA0E3C1" w14:textId="77777777" w:rsidR="007B221B" w:rsidRDefault="007B221B" w:rsidP="007B221B">
      <w:pPr>
        <w:pStyle w:val="NoSpacing"/>
      </w:pPr>
      <w:r>
        <w:t xml:space="preserve">Dataset: </w:t>
      </w:r>
      <w:proofErr w:type="spellStart"/>
      <w:r>
        <w:t>popstruc</w:t>
      </w:r>
      <w:proofErr w:type="spellEnd"/>
    </w:p>
    <w:p w14:paraId="6D4E3755" w14:textId="77777777" w:rsidR="007B221B" w:rsidRDefault="007B221B" w:rsidP="007B221B">
      <w:pPr>
        <w:pStyle w:val="NoSpacing"/>
      </w:pPr>
      <w:r>
        <w:t>Row: period</w:t>
      </w:r>
    </w:p>
    <w:p w14:paraId="6CAD9802" w14:textId="77777777" w:rsidR="007B221B" w:rsidRDefault="007B221B" w:rsidP="007B221B">
      <w:pPr>
        <w:pStyle w:val="NoSpacing"/>
      </w:pPr>
      <w:r>
        <w:t>Column: age</w:t>
      </w:r>
    </w:p>
    <w:p w14:paraId="5AAD86BA" w14:textId="77777777" w:rsidR="00D54D5C" w:rsidRDefault="00D54D5C" w:rsidP="00D54D5C">
      <w:pPr>
        <w:pStyle w:val="NoSpacing"/>
      </w:pPr>
    </w:p>
    <w:p w14:paraId="4E166D1A" w14:textId="77777777" w:rsidR="00D54D5C" w:rsidRDefault="00D54D5C" w:rsidP="00D54D5C">
      <w:pPr>
        <w:pStyle w:val="NoSpacing"/>
      </w:pPr>
      <w:r>
        <w:t>Collection: geo2016</w:t>
      </w:r>
    </w:p>
    <w:p w14:paraId="4D646EFD" w14:textId="77777777" w:rsidR="00D54D5C" w:rsidRDefault="00D54D5C" w:rsidP="00D54D5C">
      <w:pPr>
        <w:pStyle w:val="NoSpacing"/>
      </w:pPr>
      <w:r>
        <w:t>Dataset: Earn</w:t>
      </w:r>
    </w:p>
    <w:p w14:paraId="2102B302" w14:textId="77777777" w:rsidR="00D54D5C" w:rsidRDefault="00D54D5C" w:rsidP="00D54D5C">
      <w:pPr>
        <w:pStyle w:val="NoSpacing"/>
      </w:pPr>
      <w:r>
        <w:t xml:space="preserve">Row: </w:t>
      </w:r>
      <w:r w:rsidR="007B221B">
        <w:t>Earn3</w:t>
      </w:r>
    </w:p>
    <w:p w14:paraId="7F9A180F" w14:textId="77777777" w:rsidR="00D54D5C" w:rsidRDefault="00D54D5C" w:rsidP="00D54D5C">
      <w:pPr>
        <w:pStyle w:val="NoSpacing"/>
      </w:pPr>
      <w:r>
        <w:t xml:space="preserve">Column: </w:t>
      </w:r>
      <w:proofErr w:type="spellStart"/>
      <w:r w:rsidR="007B221B">
        <w:t>AgeWork</w:t>
      </w:r>
      <w:proofErr w:type="spellEnd"/>
    </w:p>
    <w:p w14:paraId="5599EA77" w14:textId="77777777" w:rsidR="00D54D5C" w:rsidRDefault="00D54D5C" w:rsidP="00D54D5C">
      <w:pPr>
        <w:pStyle w:val="NoSpacing"/>
      </w:pPr>
    </w:p>
    <w:p w14:paraId="0CC4AA2E" w14:textId="77777777" w:rsidR="00D54D5C" w:rsidRDefault="00D54D5C" w:rsidP="00D54D5C">
      <w:pPr>
        <w:pStyle w:val="NoSpacing"/>
      </w:pPr>
      <w:r>
        <w:t>Collection: acs18_5yr</w:t>
      </w:r>
    </w:p>
    <w:p w14:paraId="6FC15D1B" w14:textId="77777777" w:rsidR="00D54D5C" w:rsidRDefault="00D54D5C" w:rsidP="00D54D5C">
      <w:pPr>
        <w:pStyle w:val="NoSpacing"/>
      </w:pPr>
      <w:r>
        <w:t xml:space="preserve">Dataset: </w:t>
      </w:r>
      <w:proofErr w:type="spellStart"/>
      <w:r>
        <w:t>ElderDisab</w:t>
      </w:r>
      <w:proofErr w:type="spellEnd"/>
    </w:p>
    <w:p w14:paraId="681DD010" w14:textId="77777777" w:rsidR="00D54D5C" w:rsidRDefault="00D54D5C" w:rsidP="00D54D5C">
      <w:pPr>
        <w:pStyle w:val="NoSpacing"/>
      </w:pPr>
      <w:r>
        <w:t xml:space="preserve">Row: </w:t>
      </w:r>
      <w:proofErr w:type="spellStart"/>
      <w:r>
        <w:t>SelfCare</w:t>
      </w:r>
      <w:proofErr w:type="spellEnd"/>
    </w:p>
    <w:p w14:paraId="5AC3EE5F" w14:textId="77777777" w:rsidR="00D54D5C" w:rsidRDefault="00D54D5C" w:rsidP="00D54D5C">
      <w:pPr>
        <w:pStyle w:val="NoSpacing"/>
      </w:pPr>
      <w:r>
        <w:t xml:space="preserve">Column: </w:t>
      </w:r>
      <w:proofErr w:type="spellStart"/>
      <w:r>
        <w:t>PovLevel</w:t>
      </w:r>
      <w:proofErr w:type="spellEnd"/>
    </w:p>
    <w:p w14:paraId="299C9651" w14:textId="77777777" w:rsidR="00D54D5C" w:rsidRDefault="00D54D5C" w:rsidP="00D54D5C">
      <w:pPr>
        <w:pStyle w:val="NoSpacing"/>
      </w:pPr>
    </w:p>
    <w:p w14:paraId="773F792A" w14:textId="77777777" w:rsidR="00D54D5C" w:rsidRDefault="00D54D5C" w:rsidP="00D54D5C">
      <w:pPr>
        <w:pStyle w:val="NoSpacing"/>
      </w:pPr>
      <w:r>
        <w:t>Collection: acs18_5yr</w:t>
      </w:r>
    </w:p>
    <w:p w14:paraId="591834FF" w14:textId="77777777" w:rsidR="00D54D5C" w:rsidRDefault="00D54D5C" w:rsidP="00D54D5C">
      <w:pPr>
        <w:pStyle w:val="NoSpacing"/>
      </w:pPr>
      <w:r>
        <w:t>Dataset: INDLVLMT</w:t>
      </w:r>
    </w:p>
    <w:p w14:paraId="10B5F47B" w14:textId="77777777" w:rsidR="00D54D5C" w:rsidRDefault="00D54D5C" w:rsidP="00D54D5C">
      <w:pPr>
        <w:pStyle w:val="NoSpacing"/>
      </w:pPr>
      <w:r>
        <w:t xml:space="preserve">Row: </w:t>
      </w:r>
      <w:proofErr w:type="spellStart"/>
      <w:r>
        <w:t>SelfCare</w:t>
      </w:r>
      <w:proofErr w:type="spellEnd"/>
    </w:p>
    <w:p w14:paraId="2F70BDFE" w14:textId="77777777" w:rsidR="00D54D5C" w:rsidRDefault="00D54D5C" w:rsidP="00D54D5C">
      <w:pPr>
        <w:pStyle w:val="NoSpacing"/>
      </w:pPr>
      <w:r>
        <w:t xml:space="preserve">Column: </w:t>
      </w:r>
      <w:proofErr w:type="spellStart"/>
      <w:r>
        <w:t>PovLevel</w:t>
      </w:r>
      <w:proofErr w:type="spellEnd"/>
    </w:p>
    <w:p w14:paraId="133592AA" w14:textId="77777777" w:rsidR="00D54D5C" w:rsidRDefault="00D54D5C" w:rsidP="00D54D5C">
      <w:pPr>
        <w:pStyle w:val="NoSpacing"/>
      </w:pPr>
    </w:p>
    <w:p w14:paraId="094851FD" w14:textId="77777777" w:rsidR="007B221B" w:rsidRDefault="007B221B" w:rsidP="007B221B">
      <w:pPr>
        <w:pStyle w:val="NoSpacing"/>
      </w:pPr>
      <w:r>
        <w:t>Collection: acs21_5yr</w:t>
      </w:r>
    </w:p>
    <w:p w14:paraId="367DFC4D" w14:textId="77777777" w:rsidR="007B221B" w:rsidRDefault="007B221B" w:rsidP="007B221B">
      <w:pPr>
        <w:pStyle w:val="NoSpacing"/>
      </w:pPr>
      <w:r>
        <w:t xml:space="preserve">Dataset: </w:t>
      </w:r>
      <w:proofErr w:type="spellStart"/>
      <w:r>
        <w:t>PopUSA</w:t>
      </w:r>
      <w:proofErr w:type="spellEnd"/>
    </w:p>
    <w:p w14:paraId="1A44E1F4" w14:textId="77777777" w:rsidR="007B221B" w:rsidRDefault="007B221B" w:rsidP="007B221B">
      <w:pPr>
        <w:pStyle w:val="NoSpacing"/>
      </w:pPr>
      <w:r>
        <w:t xml:space="preserve">Row: </w:t>
      </w:r>
      <w:proofErr w:type="spellStart"/>
      <w:r>
        <w:t>AgeAll</w:t>
      </w:r>
      <w:proofErr w:type="spellEnd"/>
    </w:p>
    <w:p w14:paraId="5F9D0828" w14:textId="77777777" w:rsidR="007B221B" w:rsidRDefault="007B221B" w:rsidP="007B221B">
      <w:pPr>
        <w:pStyle w:val="NoSpacing"/>
      </w:pPr>
      <w:r>
        <w:t xml:space="preserve">Column: </w:t>
      </w:r>
      <w:proofErr w:type="spellStart"/>
      <w:r>
        <w:t>RaceEth</w:t>
      </w:r>
      <w:proofErr w:type="spellEnd"/>
    </w:p>
    <w:p w14:paraId="264EE16A" w14:textId="77777777" w:rsidR="007B221B" w:rsidRDefault="007B221B" w:rsidP="007B221B">
      <w:pPr>
        <w:pStyle w:val="NoSpacing"/>
      </w:pPr>
      <w:r>
        <w:t>Control: Sex</w:t>
      </w:r>
    </w:p>
    <w:p w14:paraId="3B2A7527" w14:textId="77777777" w:rsidR="00D54D5C" w:rsidRPr="009168FB" w:rsidRDefault="00D54D5C" w:rsidP="001A2603"/>
    <w:sectPr w:rsidR="00D54D5C" w:rsidRPr="009168FB" w:rsidSect="00D26F8E">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AE24C" w14:textId="77777777" w:rsidR="00667519" w:rsidRDefault="00667519" w:rsidP="0033007F">
      <w:pPr>
        <w:spacing w:after="0" w:line="240" w:lineRule="auto"/>
      </w:pPr>
      <w:r>
        <w:separator/>
      </w:r>
    </w:p>
  </w:endnote>
  <w:endnote w:type="continuationSeparator" w:id="0">
    <w:p w14:paraId="67F4B5E6" w14:textId="77777777" w:rsidR="00667519" w:rsidRDefault="00667519" w:rsidP="0033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1351552"/>
      <w:docPartObj>
        <w:docPartGallery w:val="Page Numbers (Bottom of Page)"/>
        <w:docPartUnique/>
      </w:docPartObj>
    </w:sdtPr>
    <w:sdtEndPr>
      <w:rPr>
        <w:noProof/>
      </w:rPr>
    </w:sdtEndPr>
    <w:sdtContent>
      <w:p w14:paraId="7B8E911F" w14:textId="02670C88" w:rsidR="00D26F8E" w:rsidRDefault="00D26F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FB0111" w14:textId="77777777" w:rsidR="00D26F8E" w:rsidRDefault="00D26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9AFA2" w14:textId="77777777" w:rsidR="00667519" w:rsidRDefault="00667519" w:rsidP="0033007F">
      <w:pPr>
        <w:spacing w:after="0" w:line="240" w:lineRule="auto"/>
      </w:pPr>
      <w:r>
        <w:separator/>
      </w:r>
    </w:p>
  </w:footnote>
  <w:footnote w:type="continuationSeparator" w:id="0">
    <w:p w14:paraId="08FB1E9B" w14:textId="77777777" w:rsidR="00667519" w:rsidRDefault="00667519" w:rsidP="00330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F5C8C" w14:textId="4C501E7F" w:rsidR="00D26F8E" w:rsidRDefault="00D26F8E">
    <w:pPr>
      <w:pStyle w:val="Header"/>
    </w:pPr>
    <w:r>
      <w:tab/>
    </w:r>
    <w:r>
      <w:tab/>
      <w:t>Aging &amp; Society (SOC 206)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838EF"/>
    <w:multiLevelType w:val="hybridMultilevel"/>
    <w:tmpl w:val="B192C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DE1B78"/>
    <w:multiLevelType w:val="hybridMultilevel"/>
    <w:tmpl w:val="E370C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605DB4"/>
    <w:multiLevelType w:val="hybridMultilevel"/>
    <w:tmpl w:val="E370C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F523E0"/>
    <w:multiLevelType w:val="hybridMultilevel"/>
    <w:tmpl w:val="FE5ED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EE2C24"/>
    <w:multiLevelType w:val="hybridMultilevel"/>
    <w:tmpl w:val="9C06F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5F2534"/>
    <w:multiLevelType w:val="hybridMultilevel"/>
    <w:tmpl w:val="C08099FA"/>
    <w:lvl w:ilvl="0" w:tplc="73947DF0">
      <w:start w:val="70"/>
      <w:numFmt w:val="bullet"/>
      <w:lvlText w:val=""/>
      <w:lvlJc w:val="left"/>
      <w:pPr>
        <w:ind w:left="410" w:hanging="360"/>
      </w:pPr>
      <w:rPr>
        <w:rFonts w:ascii="Wingdings" w:eastAsiaTheme="minorHAnsi" w:hAnsi="Wingdings"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1400254060">
    <w:abstractNumId w:val="3"/>
  </w:num>
  <w:num w:numId="2" w16cid:durableId="1290237345">
    <w:abstractNumId w:val="4"/>
  </w:num>
  <w:num w:numId="3" w16cid:durableId="1208837163">
    <w:abstractNumId w:val="1"/>
  </w:num>
  <w:num w:numId="4" w16cid:durableId="1496140736">
    <w:abstractNumId w:val="2"/>
  </w:num>
  <w:num w:numId="5" w16cid:durableId="1044527631">
    <w:abstractNumId w:val="5"/>
  </w:num>
  <w:num w:numId="6" w16cid:durableId="49034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7A"/>
    <w:rsid w:val="0004263D"/>
    <w:rsid w:val="00110D1E"/>
    <w:rsid w:val="00162256"/>
    <w:rsid w:val="001830C3"/>
    <w:rsid w:val="001A2603"/>
    <w:rsid w:val="001E5744"/>
    <w:rsid w:val="002642BA"/>
    <w:rsid w:val="002742F7"/>
    <w:rsid w:val="002A0547"/>
    <w:rsid w:val="002D6A6D"/>
    <w:rsid w:val="0033007F"/>
    <w:rsid w:val="00341B1F"/>
    <w:rsid w:val="00345A97"/>
    <w:rsid w:val="003A6835"/>
    <w:rsid w:val="003F224A"/>
    <w:rsid w:val="00413AA7"/>
    <w:rsid w:val="00427E5B"/>
    <w:rsid w:val="0046684C"/>
    <w:rsid w:val="00480E08"/>
    <w:rsid w:val="004D0CDF"/>
    <w:rsid w:val="00501DA3"/>
    <w:rsid w:val="00521221"/>
    <w:rsid w:val="00570B2A"/>
    <w:rsid w:val="00583321"/>
    <w:rsid w:val="00596CBF"/>
    <w:rsid w:val="005C4CAB"/>
    <w:rsid w:val="0060601E"/>
    <w:rsid w:val="0062785C"/>
    <w:rsid w:val="00633718"/>
    <w:rsid w:val="00640D6C"/>
    <w:rsid w:val="00667519"/>
    <w:rsid w:val="006C1A58"/>
    <w:rsid w:val="00735FF8"/>
    <w:rsid w:val="00740843"/>
    <w:rsid w:val="007506BA"/>
    <w:rsid w:val="00786C10"/>
    <w:rsid w:val="007914DB"/>
    <w:rsid w:val="007A2AAD"/>
    <w:rsid w:val="007B221B"/>
    <w:rsid w:val="007F0FE8"/>
    <w:rsid w:val="00800077"/>
    <w:rsid w:val="00817847"/>
    <w:rsid w:val="0086147B"/>
    <w:rsid w:val="008C177A"/>
    <w:rsid w:val="008E0D08"/>
    <w:rsid w:val="008F68CB"/>
    <w:rsid w:val="009168FB"/>
    <w:rsid w:val="00924216"/>
    <w:rsid w:val="009730E8"/>
    <w:rsid w:val="009D40DF"/>
    <w:rsid w:val="009F5F83"/>
    <w:rsid w:val="00A05A57"/>
    <w:rsid w:val="00A10428"/>
    <w:rsid w:val="00A12F82"/>
    <w:rsid w:val="00A62AED"/>
    <w:rsid w:val="00A9512E"/>
    <w:rsid w:val="00B14B38"/>
    <w:rsid w:val="00B152D2"/>
    <w:rsid w:val="00B175CF"/>
    <w:rsid w:val="00B40E08"/>
    <w:rsid w:val="00BD35D7"/>
    <w:rsid w:val="00C039FE"/>
    <w:rsid w:val="00C15C15"/>
    <w:rsid w:val="00CB4D7A"/>
    <w:rsid w:val="00CD15C7"/>
    <w:rsid w:val="00D25CEB"/>
    <w:rsid w:val="00D26F8E"/>
    <w:rsid w:val="00D43814"/>
    <w:rsid w:val="00D54D5C"/>
    <w:rsid w:val="00D70626"/>
    <w:rsid w:val="00D70E2E"/>
    <w:rsid w:val="00DF04D3"/>
    <w:rsid w:val="00E10661"/>
    <w:rsid w:val="00E61C7D"/>
    <w:rsid w:val="00EB774E"/>
    <w:rsid w:val="00EC67B9"/>
    <w:rsid w:val="00ED7871"/>
    <w:rsid w:val="00F64867"/>
    <w:rsid w:val="00F77B7A"/>
    <w:rsid w:val="00F90DFF"/>
    <w:rsid w:val="00FB0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65EC"/>
  <w15:chartTrackingRefBased/>
  <w15:docId w15:val="{C73B7E57-FCFF-4654-A598-132002DB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CDF"/>
  </w:style>
  <w:style w:type="paragraph" w:styleId="Heading1">
    <w:name w:val="heading 1"/>
    <w:basedOn w:val="Normal"/>
    <w:next w:val="Normal"/>
    <w:link w:val="Heading1Char"/>
    <w:uiPriority w:val="9"/>
    <w:qFormat/>
    <w:rsid w:val="003300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52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05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B774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B774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007F"/>
    <w:pPr>
      <w:spacing w:after="0" w:line="240" w:lineRule="auto"/>
    </w:pPr>
  </w:style>
  <w:style w:type="character" w:customStyle="1" w:styleId="Heading1Char">
    <w:name w:val="Heading 1 Char"/>
    <w:basedOn w:val="DefaultParagraphFont"/>
    <w:link w:val="Heading1"/>
    <w:uiPriority w:val="9"/>
    <w:rsid w:val="0033007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30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07F"/>
  </w:style>
  <w:style w:type="paragraph" w:styleId="Footer">
    <w:name w:val="footer"/>
    <w:basedOn w:val="Normal"/>
    <w:link w:val="FooterChar"/>
    <w:uiPriority w:val="99"/>
    <w:unhideWhenUsed/>
    <w:rsid w:val="00330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07F"/>
  </w:style>
  <w:style w:type="character" w:customStyle="1" w:styleId="Heading2Char">
    <w:name w:val="Heading 2 Char"/>
    <w:basedOn w:val="DefaultParagraphFont"/>
    <w:link w:val="Heading2"/>
    <w:uiPriority w:val="9"/>
    <w:rsid w:val="00B152D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A054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2A0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547"/>
    <w:pPr>
      <w:ind w:left="720"/>
      <w:contextualSpacing/>
    </w:pPr>
  </w:style>
  <w:style w:type="character" w:customStyle="1" w:styleId="Heading4Char">
    <w:name w:val="Heading 4 Char"/>
    <w:basedOn w:val="DefaultParagraphFont"/>
    <w:link w:val="Heading4"/>
    <w:uiPriority w:val="9"/>
    <w:rsid w:val="00EB774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B774E"/>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D70626"/>
    <w:rPr>
      <w:color w:val="0563C1" w:themeColor="hyperlink"/>
      <w:u w:val="single"/>
    </w:rPr>
  </w:style>
  <w:style w:type="character" w:styleId="UnresolvedMention">
    <w:name w:val="Unresolved Mention"/>
    <w:basedOn w:val="DefaultParagraphFont"/>
    <w:uiPriority w:val="99"/>
    <w:semiHidden/>
    <w:unhideWhenUsed/>
    <w:rsid w:val="00D70626"/>
    <w:rPr>
      <w:color w:val="605E5C"/>
      <w:shd w:val="clear" w:color="auto" w:fill="E1DFDD"/>
    </w:rPr>
  </w:style>
  <w:style w:type="paragraph" w:styleId="BalloonText">
    <w:name w:val="Balloon Text"/>
    <w:basedOn w:val="Normal"/>
    <w:link w:val="BalloonTextChar"/>
    <w:uiPriority w:val="99"/>
    <w:semiHidden/>
    <w:unhideWhenUsed/>
    <w:rsid w:val="006060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953882">
      <w:bodyDiv w:val="1"/>
      <w:marLeft w:val="0"/>
      <w:marRight w:val="0"/>
      <w:marTop w:val="0"/>
      <w:marBottom w:val="0"/>
      <w:divBdr>
        <w:top w:val="none" w:sz="0" w:space="0" w:color="auto"/>
        <w:left w:val="none" w:sz="0" w:space="0" w:color="auto"/>
        <w:bottom w:val="none" w:sz="0" w:space="0" w:color="auto"/>
        <w:right w:val="none" w:sz="0" w:space="0" w:color="auto"/>
      </w:divBdr>
    </w:div>
    <w:div w:id="898173906">
      <w:bodyDiv w:val="1"/>
      <w:marLeft w:val="0"/>
      <w:marRight w:val="0"/>
      <w:marTop w:val="0"/>
      <w:marBottom w:val="0"/>
      <w:divBdr>
        <w:top w:val="none" w:sz="0" w:space="0" w:color="auto"/>
        <w:left w:val="none" w:sz="0" w:space="0" w:color="auto"/>
        <w:bottom w:val="none" w:sz="0" w:space="0" w:color="auto"/>
        <w:right w:val="none" w:sz="0" w:space="0" w:color="auto"/>
      </w:divBdr>
    </w:div>
    <w:div w:id="1371952003">
      <w:bodyDiv w:val="1"/>
      <w:marLeft w:val="0"/>
      <w:marRight w:val="0"/>
      <w:marTop w:val="0"/>
      <w:marBottom w:val="0"/>
      <w:divBdr>
        <w:top w:val="none" w:sz="0" w:space="0" w:color="auto"/>
        <w:left w:val="none" w:sz="0" w:space="0" w:color="auto"/>
        <w:bottom w:val="none" w:sz="0" w:space="0" w:color="auto"/>
        <w:right w:val="none" w:sz="0" w:space="0" w:color="auto"/>
      </w:divBdr>
    </w:div>
    <w:div w:id="1536238761">
      <w:bodyDiv w:val="1"/>
      <w:marLeft w:val="0"/>
      <w:marRight w:val="0"/>
      <w:marTop w:val="0"/>
      <w:marBottom w:val="0"/>
      <w:divBdr>
        <w:top w:val="none" w:sz="0" w:space="0" w:color="auto"/>
        <w:left w:val="none" w:sz="0" w:space="0" w:color="auto"/>
        <w:bottom w:val="none" w:sz="0" w:space="0" w:color="auto"/>
        <w:right w:val="none" w:sz="0" w:space="0" w:color="auto"/>
      </w:divBdr>
    </w:div>
    <w:div w:id="1999655310">
      <w:bodyDiv w:val="1"/>
      <w:marLeft w:val="0"/>
      <w:marRight w:val="0"/>
      <w:marTop w:val="0"/>
      <w:marBottom w:val="0"/>
      <w:divBdr>
        <w:top w:val="none" w:sz="0" w:space="0" w:color="auto"/>
        <w:left w:val="none" w:sz="0" w:space="0" w:color="auto"/>
        <w:bottom w:val="none" w:sz="0" w:space="0" w:color="auto"/>
        <w:right w:val="none" w:sz="0" w:space="0" w:color="auto"/>
      </w:divBdr>
    </w:div>
    <w:div w:id="20911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wcc.edu/current-students/tech-services/wi-fi-e-mail-and-more/" TargetMode="External"/><Relationship Id="rId13" Type="http://schemas.openxmlformats.org/officeDocument/2006/relationships/hyperlink" Target="https://ssdan.net/datacounts/webch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sdan.net/variable-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BCC55-BE4E-4964-A8B8-186C407E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8</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Marley Olson</dc:creator>
  <cp:keywords/>
  <dc:description/>
  <cp:lastModifiedBy>Marley Olson</cp:lastModifiedBy>
  <cp:revision>11</cp:revision>
  <cp:lastPrinted>2024-02-21T19:06:00Z</cp:lastPrinted>
  <dcterms:created xsi:type="dcterms:W3CDTF">2024-02-27T03:02:00Z</dcterms:created>
  <dcterms:modified xsi:type="dcterms:W3CDTF">2024-12-04T19:13:00Z</dcterms:modified>
</cp:coreProperties>
</file>