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90" w:type="dxa"/>
        <w:tblCellMar>
          <w:top w:w="15" w:type="dxa"/>
          <w:left w:w="15" w:type="dxa"/>
          <w:bottom w:w="15" w:type="dxa"/>
          <w:right w:w="15" w:type="dxa"/>
        </w:tblCellMar>
        <w:tblLook w:val="04A0" w:firstRow="1" w:lastRow="0" w:firstColumn="1" w:lastColumn="0" w:noHBand="0" w:noVBand="1"/>
      </w:tblPr>
      <w:tblGrid>
        <w:gridCol w:w="1001"/>
        <w:gridCol w:w="1324"/>
        <w:gridCol w:w="924"/>
        <w:gridCol w:w="925"/>
        <w:gridCol w:w="1292"/>
        <w:gridCol w:w="1394"/>
        <w:gridCol w:w="1296"/>
        <w:gridCol w:w="1209"/>
        <w:gridCol w:w="925"/>
      </w:tblGrid>
      <w:tr w:rsidR="00965D74" w:rsidRPr="00965D74" w14:paraId="590F545B" w14:textId="77777777" w:rsidTr="00965D74">
        <w:tc>
          <w:tcPr>
            <w:tcW w:w="0" w:type="auto"/>
            <w:gridSpan w:val="9"/>
            <w:tcBorders>
              <w:top w:val="nil"/>
              <w:left w:val="nil"/>
              <w:bottom w:val="nil"/>
              <w:right w:val="nil"/>
            </w:tcBorders>
            <w:shd w:val="clear" w:color="auto" w:fill="auto"/>
            <w:vAlign w:val="center"/>
            <w:hideMark/>
          </w:tcPr>
          <w:p w14:paraId="515C32A2" w14:textId="3C695126" w:rsidR="00965D74" w:rsidRPr="00965D74" w:rsidRDefault="00965D74" w:rsidP="00965D74">
            <w:pPr>
              <w:rPr>
                <w:lang w:val="en-US"/>
              </w:rPr>
            </w:pPr>
            <w:r>
              <w:rPr>
                <w:lang w:val="en-US"/>
              </w:rPr>
              <w:t>2</w:t>
            </w:r>
            <w:r w:rsidRPr="00965D74">
              <w:rPr>
                <w:lang w:val="en-US"/>
              </w:rPr>
              <w:t>008 Social Science Data Analysis Network – Florida – Percent Down: Earn/RaceEth</w:t>
            </w:r>
          </w:p>
        </w:tc>
      </w:tr>
      <w:tr w:rsidR="00965D74" w:rsidRPr="00965D74" w14:paraId="08C6CA3B" w14:textId="77777777" w:rsidTr="00965D74">
        <w:tc>
          <w:tcPr>
            <w:tcW w:w="0" w:type="auto"/>
            <w:shd w:val="clear" w:color="auto" w:fill="auto"/>
            <w:vAlign w:val="center"/>
            <w:hideMark/>
          </w:tcPr>
          <w:p w14:paraId="3C24094A" w14:textId="77777777" w:rsidR="00965D74" w:rsidRPr="00965D74" w:rsidRDefault="00965D74" w:rsidP="00965D74">
            <w:pPr>
              <w:rPr>
                <w:lang w:val="en-US"/>
              </w:rPr>
            </w:pPr>
          </w:p>
        </w:tc>
        <w:tc>
          <w:tcPr>
            <w:tcW w:w="0" w:type="auto"/>
            <w:shd w:val="clear" w:color="auto" w:fill="auto"/>
            <w:vAlign w:val="center"/>
            <w:hideMark/>
          </w:tcPr>
          <w:p w14:paraId="4D853ABE" w14:textId="77777777" w:rsidR="00965D74" w:rsidRPr="00965D74" w:rsidRDefault="00965D74" w:rsidP="00965D74">
            <w:pPr>
              <w:rPr>
                <w:b/>
                <w:bCs/>
                <w:lang w:val="en-US"/>
              </w:rPr>
            </w:pPr>
            <w:r w:rsidRPr="00965D74">
              <w:rPr>
                <w:b/>
                <w:bCs/>
                <w:lang w:val="en-US"/>
              </w:rPr>
              <w:t>NHWhite</w:t>
            </w:r>
          </w:p>
        </w:tc>
        <w:tc>
          <w:tcPr>
            <w:tcW w:w="0" w:type="auto"/>
            <w:shd w:val="clear" w:color="auto" w:fill="auto"/>
            <w:vAlign w:val="center"/>
            <w:hideMark/>
          </w:tcPr>
          <w:p w14:paraId="0B2B6338" w14:textId="77777777" w:rsidR="00965D74" w:rsidRPr="00965D74" w:rsidRDefault="00965D74" w:rsidP="00965D74">
            <w:pPr>
              <w:rPr>
                <w:b/>
                <w:bCs/>
                <w:lang w:val="en-US"/>
              </w:rPr>
            </w:pPr>
            <w:r w:rsidRPr="00965D74">
              <w:rPr>
                <w:b/>
                <w:bCs/>
                <w:lang w:val="en-US"/>
              </w:rPr>
              <w:t>Black</w:t>
            </w:r>
          </w:p>
        </w:tc>
        <w:tc>
          <w:tcPr>
            <w:tcW w:w="0" w:type="auto"/>
            <w:shd w:val="clear" w:color="auto" w:fill="auto"/>
            <w:vAlign w:val="center"/>
            <w:hideMark/>
          </w:tcPr>
          <w:p w14:paraId="1A8A06CE" w14:textId="77777777" w:rsidR="00965D74" w:rsidRPr="00965D74" w:rsidRDefault="00965D74" w:rsidP="00965D74">
            <w:pPr>
              <w:rPr>
                <w:b/>
                <w:bCs/>
                <w:lang w:val="en-US"/>
              </w:rPr>
            </w:pPr>
            <w:r w:rsidRPr="00965D74">
              <w:rPr>
                <w:b/>
                <w:bCs/>
                <w:lang w:val="en-US"/>
              </w:rPr>
              <w:t>Asian</w:t>
            </w:r>
          </w:p>
        </w:tc>
        <w:tc>
          <w:tcPr>
            <w:tcW w:w="0" w:type="auto"/>
            <w:shd w:val="clear" w:color="auto" w:fill="auto"/>
            <w:vAlign w:val="center"/>
            <w:hideMark/>
          </w:tcPr>
          <w:p w14:paraId="3C33CDCD" w14:textId="77777777" w:rsidR="00965D74" w:rsidRPr="00965D74" w:rsidRDefault="00965D74" w:rsidP="00965D74">
            <w:pPr>
              <w:rPr>
                <w:b/>
                <w:bCs/>
                <w:lang w:val="en-US"/>
              </w:rPr>
            </w:pPr>
            <w:r w:rsidRPr="00965D74">
              <w:rPr>
                <w:b/>
                <w:bCs/>
                <w:lang w:val="en-US"/>
              </w:rPr>
              <w:t>Hispanic</w:t>
            </w:r>
          </w:p>
        </w:tc>
        <w:tc>
          <w:tcPr>
            <w:tcW w:w="0" w:type="auto"/>
            <w:shd w:val="clear" w:color="auto" w:fill="auto"/>
            <w:vAlign w:val="center"/>
            <w:hideMark/>
          </w:tcPr>
          <w:p w14:paraId="2A6AF775" w14:textId="77777777" w:rsidR="00965D74" w:rsidRPr="00965D74" w:rsidRDefault="00965D74" w:rsidP="00965D74">
            <w:pPr>
              <w:rPr>
                <w:b/>
                <w:bCs/>
                <w:lang w:val="en-US"/>
              </w:rPr>
            </w:pPr>
            <w:r w:rsidRPr="00965D74">
              <w:rPr>
                <w:b/>
                <w:bCs/>
                <w:lang w:val="en-US"/>
              </w:rPr>
              <w:t>AmIndian</w:t>
            </w:r>
          </w:p>
        </w:tc>
        <w:tc>
          <w:tcPr>
            <w:tcW w:w="0" w:type="auto"/>
            <w:shd w:val="clear" w:color="auto" w:fill="auto"/>
            <w:vAlign w:val="center"/>
            <w:hideMark/>
          </w:tcPr>
          <w:p w14:paraId="64A41001" w14:textId="77777777" w:rsidR="00965D74" w:rsidRPr="00965D74" w:rsidRDefault="00965D74" w:rsidP="00965D74">
            <w:pPr>
              <w:rPr>
                <w:b/>
                <w:bCs/>
                <w:lang w:val="en-US"/>
              </w:rPr>
            </w:pPr>
            <w:r w:rsidRPr="00965D74">
              <w:rPr>
                <w:b/>
                <w:bCs/>
                <w:lang w:val="en-US"/>
              </w:rPr>
              <w:t>NHOther</w:t>
            </w:r>
          </w:p>
        </w:tc>
        <w:tc>
          <w:tcPr>
            <w:tcW w:w="0" w:type="auto"/>
            <w:shd w:val="clear" w:color="auto" w:fill="auto"/>
            <w:vAlign w:val="center"/>
            <w:hideMark/>
          </w:tcPr>
          <w:p w14:paraId="0506E1AA" w14:textId="77777777" w:rsidR="00965D74" w:rsidRPr="00965D74" w:rsidRDefault="00965D74" w:rsidP="00965D74">
            <w:pPr>
              <w:rPr>
                <w:b/>
                <w:bCs/>
                <w:lang w:val="en-US"/>
              </w:rPr>
            </w:pPr>
            <w:r w:rsidRPr="00965D74">
              <w:rPr>
                <w:b/>
                <w:bCs/>
                <w:lang w:val="en-US"/>
              </w:rPr>
              <w:t>NHMulti</w:t>
            </w:r>
          </w:p>
        </w:tc>
        <w:tc>
          <w:tcPr>
            <w:tcW w:w="0" w:type="auto"/>
            <w:shd w:val="clear" w:color="auto" w:fill="auto"/>
            <w:vAlign w:val="center"/>
            <w:hideMark/>
          </w:tcPr>
          <w:p w14:paraId="740BEE6D" w14:textId="77777777" w:rsidR="00965D74" w:rsidRPr="00965D74" w:rsidRDefault="00965D74" w:rsidP="00965D74">
            <w:pPr>
              <w:rPr>
                <w:b/>
                <w:bCs/>
                <w:lang w:val="en-US"/>
              </w:rPr>
            </w:pPr>
            <w:r w:rsidRPr="00965D74">
              <w:rPr>
                <w:b/>
                <w:bCs/>
                <w:lang w:val="en-US"/>
              </w:rPr>
              <w:t>Total</w:t>
            </w:r>
          </w:p>
        </w:tc>
      </w:tr>
      <w:tr w:rsidR="00965D74" w:rsidRPr="00965D74" w14:paraId="545E0468" w14:textId="77777777" w:rsidTr="00965D74">
        <w:tc>
          <w:tcPr>
            <w:tcW w:w="0" w:type="auto"/>
            <w:shd w:val="clear" w:color="auto" w:fill="auto"/>
            <w:vAlign w:val="center"/>
            <w:hideMark/>
          </w:tcPr>
          <w:p w14:paraId="4D48EC02" w14:textId="77777777" w:rsidR="00965D74" w:rsidRPr="00965D74" w:rsidRDefault="00965D74" w:rsidP="00965D74">
            <w:pPr>
              <w:rPr>
                <w:b/>
                <w:bCs/>
                <w:lang w:val="en-US"/>
              </w:rPr>
            </w:pPr>
            <w:r w:rsidRPr="00965D74">
              <w:rPr>
                <w:b/>
                <w:bCs/>
                <w:lang w:val="en-US"/>
              </w:rPr>
              <w:t>&lt;25K</w:t>
            </w:r>
          </w:p>
        </w:tc>
        <w:tc>
          <w:tcPr>
            <w:tcW w:w="0" w:type="auto"/>
            <w:shd w:val="clear" w:color="auto" w:fill="auto"/>
            <w:tcMar>
              <w:top w:w="30" w:type="dxa"/>
              <w:left w:w="30" w:type="dxa"/>
              <w:bottom w:w="30" w:type="dxa"/>
              <w:right w:w="30" w:type="dxa"/>
            </w:tcMar>
            <w:vAlign w:val="center"/>
            <w:hideMark/>
          </w:tcPr>
          <w:p w14:paraId="0192F9DF" w14:textId="77777777" w:rsidR="00965D74" w:rsidRPr="00965D74" w:rsidRDefault="00965D74" w:rsidP="00965D74">
            <w:pPr>
              <w:rPr>
                <w:lang w:val="en-US"/>
              </w:rPr>
            </w:pPr>
            <w:r w:rsidRPr="00965D74">
              <w:rPr>
                <w:lang w:val="en-US"/>
              </w:rPr>
              <w:t>20.1%</w:t>
            </w:r>
          </w:p>
        </w:tc>
        <w:tc>
          <w:tcPr>
            <w:tcW w:w="0" w:type="auto"/>
            <w:shd w:val="clear" w:color="auto" w:fill="auto"/>
            <w:tcMar>
              <w:top w:w="30" w:type="dxa"/>
              <w:left w:w="30" w:type="dxa"/>
              <w:bottom w:w="30" w:type="dxa"/>
              <w:right w:w="30" w:type="dxa"/>
            </w:tcMar>
            <w:vAlign w:val="center"/>
            <w:hideMark/>
          </w:tcPr>
          <w:p w14:paraId="7E889E20" w14:textId="77777777" w:rsidR="00965D74" w:rsidRPr="00965D74" w:rsidRDefault="00965D74" w:rsidP="00965D74">
            <w:pPr>
              <w:rPr>
                <w:lang w:val="en-US"/>
              </w:rPr>
            </w:pPr>
            <w:r w:rsidRPr="00965D74">
              <w:rPr>
                <w:lang w:val="en-US"/>
              </w:rPr>
              <w:t>38.1%</w:t>
            </w:r>
          </w:p>
        </w:tc>
        <w:tc>
          <w:tcPr>
            <w:tcW w:w="0" w:type="auto"/>
            <w:shd w:val="clear" w:color="auto" w:fill="auto"/>
            <w:tcMar>
              <w:top w:w="30" w:type="dxa"/>
              <w:left w:w="30" w:type="dxa"/>
              <w:bottom w:w="30" w:type="dxa"/>
              <w:right w:w="30" w:type="dxa"/>
            </w:tcMar>
            <w:vAlign w:val="center"/>
            <w:hideMark/>
          </w:tcPr>
          <w:p w14:paraId="5A2721B8" w14:textId="77777777" w:rsidR="00965D74" w:rsidRPr="00965D74" w:rsidRDefault="00965D74" w:rsidP="00965D74">
            <w:pPr>
              <w:rPr>
                <w:lang w:val="en-US"/>
              </w:rPr>
            </w:pPr>
            <w:r w:rsidRPr="00965D74">
              <w:rPr>
                <w:lang w:val="en-US"/>
              </w:rPr>
              <w:t>28.6%</w:t>
            </w:r>
          </w:p>
        </w:tc>
        <w:tc>
          <w:tcPr>
            <w:tcW w:w="0" w:type="auto"/>
            <w:shd w:val="clear" w:color="auto" w:fill="auto"/>
            <w:tcMar>
              <w:top w:w="30" w:type="dxa"/>
              <w:left w:w="30" w:type="dxa"/>
              <w:bottom w:w="30" w:type="dxa"/>
              <w:right w:w="30" w:type="dxa"/>
            </w:tcMar>
            <w:vAlign w:val="center"/>
            <w:hideMark/>
          </w:tcPr>
          <w:p w14:paraId="2A456B08" w14:textId="77777777" w:rsidR="00965D74" w:rsidRPr="00965D74" w:rsidRDefault="00965D74" w:rsidP="00965D74">
            <w:pPr>
              <w:rPr>
                <w:lang w:val="en-US"/>
              </w:rPr>
            </w:pPr>
            <w:r w:rsidRPr="00965D74">
              <w:rPr>
                <w:lang w:val="en-US"/>
              </w:rPr>
              <w:t>40.6%</w:t>
            </w:r>
          </w:p>
        </w:tc>
        <w:tc>
          <w:tcPr>
            <w:tcW w:w="0" w:type="auto"/>
            <w:shd w:val="clear" w:color="auto" w:fill="auto"/>
            <w:tcMar>
              <w:top w:w="30" w:type="dxa"/>
              <w:left w:w="30" w:type="dxa"/>
              <w:bottom w:w="30" w:type="dxa"/>
              <w:right w:w="30" w:type="dxa"/>
            </w:tcMar>
            <w:vAlign w:val="center"/>
            <w:hideMark/>
          </w:tcPr>
          <w:p w14:paraId="4427EDEB" w14:textId="77777777" w:rsidR="00965D74" w:rsidRPr="00965D74" w:rsidRDefault="00965D74" w:rsidP="00965D74">
            <w:pPr>
              <w:rPr>
                <w:lang w:val="en-US"/>
              </w:rPr>
            </w:pPr>
            <w:r w:rsidRPr="00965D74">
              <w:rPr>
                <w:lang w:val="en-US"/>
              </w:rPr>
              <w:t>34.6%</w:t>
            </w:r>
          </w:p>
        </w:tc>
        <w:tc>
          <w:tcPr>
            <w:tcW w:w="0" w:type="auto"/>
            <w:shd w:val="clear" w:color="auto" w:fill="auto"/>
            <w:tcMar>
              <w:top w:w="30" w:type="dxa"/>
              <w:left w:w="30" w:type="dxa"/>
              <w:bottom w:w="30" w:type="dxa"/>
              <w:right w:w="30" w:type="dxa"/>
            </w:tcMar>
            <w:vAlign w:val="center"/>
            <w:hideMark/>
          </w:tcPr>
          <w:p w14:paraId="4ADF2C4F" w14:textId="77777777" w:rsidR="00965D74" w:rsidRPr="00965D74" w:rsidRDefault="00965D74" w:rsidP="00965D74">
            <w:pPr>
              <w:rPr>
                <w:lang w:val="en-US"/>
              </w:rPr>
            </w:pPr>
            <w:r w:rsidRPr="00965D74">
              <w:rPr>
                <w:lang w:val="en-US"/>
              </w:rPr>
              <w:t>38.8%</w:t>
            </w:r>
          </w:p>
        </w:tc>
        <w:tc>
          <w:tcPr>
            <w:tcW w:w="0" w:type="auto"/>
            <w:shd w:val="clear" w:color="auto" w:fill="auto"/>
            <w:tcMar>
              <w:top w:w="30" w:type="dxa"/>
              <w:left w:w="30" w:type="dxa"/>
              <w:bottom w:w="30" w:type="dxa"/>
              <w:right w:w="30" w:type="dxa"/>
            </w:tcMar>
            <w:vAlign w:val="center"/>
            <w:hideMark/>
          </w:tcPr>
          <w:p w14:paraId="6EB3A7AA" w14:textId="77777777" w:rsidR="00965D74" w:rsidRPr="00965D74" w:rsidRDefault="00965D74" w:rsidP="00965D74">
            <w:pPr>
              <w:rPr>
                <w:lang w:val="en-US"/>
              </w:rPr>
            </w:pPr>
            <w:r w:rsidRPr="00965D74">
              <w:rPr>
                <w:lang w:val="en-US"/>
              </w:rPr>
              <w:t>29%</w:t>
            </w:r>
          </w:p>
        </w:tc>
        <w:tc>
          <w:tcPr>
            <w:tcW w:w="0" w:type="auto"/>
            <w:shd w:val="clear" w:color="auto" w:fill="auto"/>
            <w:tcMar>
              <w:top w:w="30" w:type="dxa"/>
              <w:left w:w="30" w:type="dxa"/>
              <w:bottom w:w="30" w:type="dxa"/>
              <w:right w:w="30" w:type="dxa"/>
            </w:tcMar>
            <w:vAlign w:val="center"/>
            <w:hideMark/>
          </w:tcPr>
          <w:p w14:paraId="7D342435" w14:textId="77777777" w:rsidR="00965D74" w:rsidRPr="00965D74" w:rsidRDefault="00965D74" w:rsidP="00965D74">
            <w:pPr>
              <w:rPr>
                <w:lang w:val="en-US"/>
              </w:rPr>
            </w:pPr>
            <w:r w:rsidRPr="00965D74">
              <w:rPr>
                <w:lang w:val="en-US"/>
              </w:rPr>
              <w:t>27.5%</w:t>
            </w:r>
          </w:p>
        </w:tc>
      </w:tr>
      <w:tr w:rsidR="00965D74" w:rsidRPr="00965D74" w14:paraId="042CEF1C" w14:textId="77777777" w:rsidTr="00965D74">
        <w:tc>
          <w:tcPr>
            <w:tcW w:w="0" w:type="auto"/>
            <w:shd w:val="clear" w:color="auto" w:fill="auto"/>
            <w:vAlign w:val="center"/>
            <w:hideMark/>
          </w:tcPr>
          <w:p w14:paraId="35DBED10" w14:textId="77777777" w:rsidR="00965D74" w:rsidRPr="00965D74" w:rsidRDefault="00965D74" w:rsidP="00965D74">
            <w:pPr>
              <w:rPr>
                <w:b/>
                <w:bCs/>
                <w:lang w:val="en-US"/>
              </w:rPr>
            </w:pPr>
            <w:r w:rsidRPr="00965D74">
              <w:rPr>
                <w:b/>
                <w:bCs/>
                <w:lang w:val="en-US"/>
              </w:rPr>
              <w:t>25-34K</w:t>
            </w:r>
          </w:p>
        </w:tc>
        <w:tc>
          <w:tcPr>
            <w:tcW w:w="0" w:type="auto"/>
            <w:shd w:val="clear" w:color="auto" w:fill="auto"/>
            <w:tcMar>
              <w:top w:w="30" w:type="dxa"/>
              <w:left w:w="30" w:type="dxa"/>
              <w:bottom w:w="30" w:type="dxa"/>
              <w:right w:w="30" w:type="dxa"/>
            </w:tcMar>
            <w:vAlign w:val="center"/>
            <w:hideMark/>
          </w:tcPr>
          <w:p w14:paraId="51224C23" w14:textId="77777777" w:rsidR="00965D74" w:rsidRPr="00965D74" w:rsidRDefault="00965D74" w:rsidP="00965D74">
            <w:pPr>
              <w:rPr>
                <w:lang w:val="en-US"/>
              </w:rPr>
            </w:pPr>
            <w:r w:rsidRPr="00965D74">
              <w:rPr>
                <w:lang w:val="en-US"/>
              </w:rPr>
              <w:t>19.3%</w:t>
            </w:r>
          </w:p>
        </w:tc>
        <w:tc>
          <w:tcPr>
            <w:tcW w:w="0" w:type="auto"/>
            <w:shd w:val="clear" w:color="auto" w:fill="auto"/>
            <w:tcMar>
              <w:top w:w="30" w:type="dxa"/>
              <w:left w:w="30" w:type="dxa"/>
              <w:bottom w:w="30" w:type="dxa"/>
              <w:right w:w="30" w:type="dxa"/>
            </w:tcMar>
            <w:vAlign w:val="center"/>
            <w:hideMark/>
          </w:tcPr>
          <w:p w14:paraId="2BCFC5F0" w14:textId="77777777" w:rsidR="00965D74" w:rsidRPr="00965D74" w:rsidRDefault="00965D74" w:rsidP="00965D74">
            <w:pPr>
              <w:rPr>
                <w:lang w:val="en-US"/>
              </w:rPr>
            </w:pPr>
            <w:r w:rsidRPr="00965D74">
              <w:rPr>
                <w:lang w:val="en-US"/>
              </w:rPr>
              <w:t>24.5%</w:t>
            </w:r>
          </w:p>
        </w:tc>
        <w:tc>
          <w:tcPr>
            <w:tcW w:w="0" w:type="auto"/>
            <w:shd w:val="clear" w:color="auto" w:fill="auto"/>
            <w:tcMar>
              <w:top w:w="30" w:type="dxa"/>
              <w:left w:w="30" w:type="dxa"/>
              <w:bottom w:w="30" w:type="dxa"/>
              <w:right w:w="30" w:type="dxa"/>
            </w:tcMar>
            <w:vAlign w:val="center"/>
            <w:hideMark/>
          </w:tcPr>
          <w:p w14:paraId="5CE95F41" w14:textId="77777777" w:rsidR="00965D74" w:rsidRPr="00965D74" w:rsidRDefault="00965D74" w:rsidP="00965D74">
            <w:pPr>
              <w:rPr>
                <w:lang w:val="en-US"/>
              </w:rPr>
            </w:pPr>
            <w:r w:rsidRPr="00965D74">
              <w:rPr>
                <w:lang w:val="en-US"/>
              </w:rPr>
              <w:t>18.1%</w:t>
            </w:r>
          </w:p>
        </w:tc>
        <w:tc>
          <w:tcPr>
            <w:tcW w:w="0" w:type="auto"/>
            <w:shd w:val="clear" w:color="auto" w:fill="auto"/>
            <w:tcMar>
              <w:top w:w="30" w:type="dxa"/>
              <w:left w:w="30" w:type="dxa"/>
              <w:bottom w:w="30" w:type="dxa"/>
              <w:right w:w="30" w:type="dxa"/>
            </w:tcMar>
            <w:vAlign w:val="center"/>
            <w:hideMark/>
          </w:tcPr>
          <w:p w14:paraId="7FF81CFF" w14:textId="77777777" w:rsidR="00965D74" w:rsidRPr="00965D74" w:rsidRDefault="00965D74" w:rsidP="00965D74">
            <w:pPr>
              <w:rPr>
                <w:lang w:val="en-US"/>
              </w:rPr>
            </w:pPr>
            <w:r w:rsidRPr="00965D74">
              <w:rPr>
                <w:lang w:val="en-US"/>
              </w:rPr>
              <w:t>21.4%</w:t>
            </w:r>
          </w:p>
        </w:tc>
        <w:tc>
          <w:tcPr>
            <w:tcW w:w="0" w:type="auto"/>
            <w:shd w:val="clear" w:color="auto" w:fill="auto"/>
            <w:tcMar>
              <w:top w:w="30" w:type="dxa"/>
              <w:left w:w="30" w:type="dxa"/>
              <w:bottom w:w="30" w:type="dxa"/>
              <w:right w:w="30" w:type="dxa"/>
            </w:tcMar>
            <w:vAlign w:val="center"/>
            <w:hideMark/>
          </w:tcPr>
          <w:p w14:paraId="6C7D616A" w14:textId="77777777" w:rsidR="00965D74" w:rsidRPr="00965D74" w:rsidRDefault="00965D74" w:rsidP="00965D74">
            <w:pPr>
              <w:rPr>
                <w:lang w:val="en-US"/>
              </w:rPr>
            </w:pPr>
            <w:r w:rsidRPr="00965D74">
              <w:rPr>
                <w:lang w:val="en-US"/>
              </w:rPr>
              <w:t>21.3%</w:t>
            </w:r>
          </w:p>
        </w:tc>
        <w:tc>
          <w:tcPr>
            <w:tcW w:w="0" w:type="auto"/>
            <w:shd w:val="clear" w:color="auto" w:fill="auto"/>
            <w:tcMar>
              <w:top w:w="30" w:type="dxa"/>
              <w:left w:w="30" w:type="dxa"/>
              <w:bottom w:w="30" w:type="dxa"/>
              <w:right w:w="30" w:type="dxa"/>
            </w:tcMar>
            <w:vAlign w:val="center"/>
            <w:hideMark/>
          </w:tcPr>
          <w:p w14:paraId="210F063D" w14:textId="77777777" w:rsidR="00965D74" w:rsidRPr="00965D74" w:rsidRDefault="00965D74" w:rsidP="00965D74">
            <w:pPr>
              <w:rPr>
                <w:lang w:val="en-US"/>
              </w:rPr>
            </w:pPr>
            <w:r w:rsidRPr="00965D74">
              <w:rPr>
                <w:lang w:val="en-US"/>
              </w:rPr>
              <w:t>23.4%</w:t>
            </w:r>
          </w:p>
        </w:tc>
        <w:tc>
          <w:tcPr>
            <w:tcW w:w="0" w:type="auto"/>
            <w:shd w:val="clear" w:color="auto" w:fill="auto"/>
            <w:tcMar>
              <w:top w:w="30" w:type="dxa"/>
              <w:left w:w="30" w:type="dxa"/>
              <w:bottom w:w="30" w:type="dxa"/>
              <w:right w:w="30" w:type="dxa"/>
            </w:tcMar>
            <w:vAlign w:val="center"/>
            <w:hideMark/>
          </w:tcPr>
          <w:p w14:paraId="586F06D5" w14:textId="77777777" w:rsidR="00965D74" w:rsidRPr="00965D74" w:rsidRDefault="00965D74" w:rsidP="00965D74">
            <w:pPr>
              <w:rPr>
                <w:lang w:val="en-US"/>
              </w:rPr>
            </w:pPr>
            <w:r w:rsidRPr="00965D74">
              <w:rPr>
                <w:lang w:val="en-US"/>
              </w:rPr>
              <w:t>23.4%</w:t>
            </w:r>
          </w:p>
        </w:tc>
        <w:tc>
          <w:tcPr>
            <w:tcW w:w="0" w:type="auto"/>
            <w:shd w:val="clear" w:color="auto" w:fill="auto"/>
            <w:tcMar>
              <w:top w:w="30" w:type="dxa"/>
              <w:left w:w="30" w:type="dxa"/>
              <w:bottom w:w="30" w:type="dxa"/>
              <w:right w:w="30" w:type="dxa"/>
            </w:tcMar>
            <w:vAlign w:val="center"/>
            <w:hideMark/>
          </w:tcPr>
          <w:p w14:paraId="36660DD2" w14:textId="77777777" w:rsidR="00965D74" w:rsidRPr="00965D74" w:rsidRDefault="00965D74" w:rsidP="00965D74">
            <w:pPr>
              <w:rPr>
                <w:lang w:val="en-US"/>
              </w:rPr>
            </w:pPr>
            <w:r w:rsidRPr="00965D74">
              <w:rPr>
                <w:lang w:val="en-US"/>
              </w:rPr>
              <w:t>20.6%</w:t>
            </w:r>
          </w:p>
        </w:tc>
      </w:tr>
      <w:tr w:rsidR="00965D74" w:rsidRPr="00965D74" w14:paraId="57F1BDA7" w14:textId="77777777" w:rsidTr="00965D74">
        <w:tc>
          <w:tcPr>
            <w:tcW w:w="0" w:type="auto"/>
            <w:shd w:val="clear" w:color="auto" w:fill="auto"/>
            <w:vAlign w:val="center"/>
            <w:hideMark/>
          </w:tcPr>
          <w:p w14:paraId="4ADDB307" w14:textId="77777777" w:rsidR="00965D74" w:rsidRPr="00965D74" w:rsidRDefault="00965D74" w:rsidP="00965D74">
            <w:pPr>
              <w:rPr>
                <w:b/>
                <w:bCs/>
                <w:lang w:val="en-US"/>
              </w:rPr>
            </w:pPr>
            <w:r w:rsidRPr="00965D74">
              <w:rPr>
                <w:b/>
                <w:bCs/>
                <w:lang w:val="en-US"/>
              </w:rPr>
              <w:t>35-49K</w:t>
            </w:r>
          </w:p>
        </w:tc>
        <w:tc>
          <w:tcPr>
            <w:tcW w:w="0" w:type="auto"/>
            <w:shd w:val="clear" w:color="auto" w:fill="auto"/>
            <w:tcMar>
              <w:top w:w="30" w:type="dxa"/>
              <w:left w:w="30" w:type="dxa"/>
              <w:bottom w:w="30" w:type="dxa"/>
              <w:right w:w="30" w:type="dxa"/>
            </w:tcMar>
            <w:vAlign w:val="center"/>
            <w:hideMark/>
          </w:tcPr>
          <w:p w14:paraId="3629F3AD" w14:textId="77777777" w:rsidR="00965D74" w:rsidRPr="00965D74" w:rsidRDefault="00965D74" w:rsidP="00965D74">
            <w:pPr>
              <w:rPr>
                <w:lang w:val="en-US"/>
              </w:rPr>
            </w:pPr>
            <w:r w:rsidRPr="00965D74">
              <w:rPr>
                <w:lang w:val="en-US"/>
              </w:rPr>
              <w:t>22.8%</w:t>
            </w:r>
          </w:p>
        </w:tc>
        <w:tc>
          <w:tcPr>
            <w:tcW w:w="0" w:type="auto"/>
            <w:shd w:val="clear" w:color="auto" w:fill="auto"/>
            <w:tcMar>
              <w:top w:w="30" w:type="dxa"/>
              <w:left w:w="30" w:type="dxa"/>
              <w:bottom w:w="30" w:type="dxa"/>
              <w:right w:w="30" w:type="dxa"/>
            </w:tcMar>
            <w:vAlign w:val="center"/>
            <w:hideMark/>
          </w:tcPr>
          <w:p w14:paraId="02760F6A" w14:textId="77777777" w:rsidR="00965D74" w:rsidRPr="00965D74" w:rsidRDefault="00965D74" w:rsidP="00965D74">
            <w:pPr>
              <w:rPr>
                <w:lang w:val="en-US"/>
              </w:rPr>
            </w:pPr>
            <w:r w:rsidRPr="00965D74">
              <w:rPr>
                <w:lang w:val="en-US"/>
              </w:rPr>
              <w:t>20.5%</w:t>
            </w:r>
          </w:p>
        </w:tc>
        <w:tc>
          <w:tcPr>
            <w:tcW w:w="0" w:type="auto"/>
            <w:shd w:val="clear" w:color="auto" w:fill="auto"/>
            <w:tcMar>
              <w:top w:w="30" w:type="dxa"/>
              <w:left w:w="30" w:type="dxa"/>
              <w:bottom w:w="30" w:type="dxa"/>
              <w:right w:w="30" w:type="dxa"/>
            </w:tcMar>
            <w:vAlign w:val="center"/>
            <w:hideMark/>
          </w:tcPr>
          <w:p w14:paraId="063A07A4" w14:textId="77777777" w:rsidR="00965D74" w:rsidRPr="00965D74" w:rsidRDefault="00965D74" w:rsidP="00965D74">
            <w:pPr>
              <w:rPr>
                <w:lang w:val="en-US"/>
              </w:rPr>
            </w:pPr>
            <w:r w:rsidRPr="00965D74">
              <w:rPr>
                <w:lang w:val="en-US"/>
              </w:rPr>
              <w:t>17.5%</w:t>
            </w:r>
          </w:p>
        </w:tc>
        <w:tc>
          <w:tcPr>
            <w:tcW w:w="0" w:type="auto"/>
            <w:shd w:val="clear" w:color="auto" w:fill="auto"/>
            <w:tcMar>
              <w:top w:w="30" w:type="dxa"/>
              <w:left w:w="30" w:type="dxa"/>
              <w:bottom w:w="30" w:type="dxa"/>
              <w:right w:w="30" w:type="dxa"/>
            </w:tcMar>
            <w:vAlign w:val="center"/>
            <w:hideMark/>
          </w:tcPr>
          <w:p w14:paraId="7B43BF8C" w14:textId="77777777" w:rsidR="00965D74" w:rsidRPr="00965D74" w:rsidRDefault="00965D74" w:rsidP="00965D74">
            <w:pPr>
              <w:rPr>
                <w:lang w:val="en-US"/>
              </w:rPr>
            </w:pPr>
            <w:r w:rsidRPr="00965D74">
              <w:rPr>
                <w:lang w:val="en-US"/>
              </w:rPr>
              <w:t>17.8%</w:t>
            </w:r>
          </w:p>
        </w:tc>
        <w:tc>
          <w:tcPr>
            <w:tcW w:w="0" w:type="auto"/>
            <w:shd w:val="clear" w:color="auto" w:fill="auto"/>
            <w:tcMar>
              <w:top w:w="30" w:type="dxa"/>
              <w:left w:w="30" w:type="dxa"/>
              <w:bottom w:w="30" w:type="dxa"/>
              <w:right w:w="30" w:type="dxa"/>
            </w:tcMar>
            <w:vAlign w:val="center"/>
            <w:hideMark/>
          </w:tcPr>
          <w:p w14:paraId="71184BB1" w14:textId="77777777" w:rsidR="00965D74" w:rsidRPr="00965D74" w:rsidRDefault="00965D74" w:rsidP="00965D74">
            <w:pPr>
              <w:rPr>
                <w:lang w:val="en-US"/>
              </w:rPr>
            </w:pPr>
            <w:r w:rsidRPr="00965D74">
              <w:rPr>
                <w:lang w:val="en-US"/>
              </w:rPr>
              <w:t>22.9%</w:t>
            </w:r>
          </w:p>
        </w:tc>
        <w:tc>
          <w:tcPr>
            <w:tcW w:w="0" w:type="auto"/>
            <w:shd w:val="clear" w:color="auto" w:fill="auto"/>
            <w:tcMar>
              <w:top w:w="30" w:type="dxa"/>
              <w:left w:w="30" w:type="dxa"/>
              <w:bottom w:w="30" w:type="dxa"/>
              <w:right w:w="30" w:type="dxa"/>
            </w:tcMar>
            <w:vAlign w:val="center"/>
            <w:hideMark/>
          </w:tcPr>
          <w:p w14:paraId="4C1CC14F" w14:textId="77777777" w:rsidR="00965D74" w:rsidRPr="00965D74" w:rsidRDefault="00965D74" w:rsidP="00965D74">
            <w:pPr>
              <w:rPr>
                <w:lang w:val="en-US"/>
              </w:rPr>
            </w:pPr>
            <w:r w:rsidRPr="00965D74">
              <w:rPr>
                <w:lang w:val="en-US"/>
              </w:rPr>
              <w:t>18.9%</w:t>
            </w:r>
          </w:p>
        </w:tc>
        <w:tc>
          <w:tcPr>
            <w:tcW w:w="0" w:type="auto"/>
            <w:shd w:val="clear" w:color="auto" w:fill="auto"/>
            <w:tcMar>
              <w:top w:w="30" w:type="dxa"/>
              <w:left w:w="30" w:type="dxa"/>
              <w:bottom w:w="30" w:type="dxa"/>
              <w:right w:w="30" w:type="dxa"/>
            </w:tcMar>
            <w:vAlign w:val="center"/>
            <w:hideMark/>
          </w:tcPr>
          <w:p w14:paraId="0630BEDB" w14:textId="77777777" w:rsidR="00965D74" w:rsidRPr="00965D74" w:rsidRDefault="00965D74" w:rsidP="00965D74">
            <w:pPr>
              <w:rPr>
                <w:lang w:val="en-US"/>
              </w:rPr>
            </w:pPr>
            <w:r w:rsidRPr="00965D74">
              <w:rPr>
                <w:lang w:val="en-US"/>
              </w:rPr>
              <w:t>22.4%</w:t>
            </w:r>
          </w:p>
        </w:tc>
        <w:tc>
          <w:tcPr>
            <w:tcW w:w="0" w:type="auto"/>
            <w:shd w:val="clear" w:color="auto" w:fill="auto"/>
            <w:tcMar>
              <w:top w:w="30" w:type="dxa"/>
              <w:left w:w="30" w:type="dxa"/>
              <w:bottom w:w="30" w:type="dxa"/>
              <w:right w:w="30" w:type="dxa"/>
            </w:tcMar>
            <w:vAlign w:val="center"/>
            <w:hideMark/>
          </w:tcPr>
          <w:p w14:paraId="17169228" w14:textId="77777777" w:rsidR="00965D74" w:rsidRPr="00965D74" w:rsidRDefault="00965D74" w:rsidP="00965D74">
            <w:pPr>
              <w:rPr>
                <w:lang w:val="en-US"/>
              </w:rPr>
            </w:pPr>
            <w:r w:rsidRPr="00965D74">
              <w:rPr>
                <w:lang w:val="en-US"/>
              </w:rPr>
              <w:t>21.2%</w:t>
            </w:r>
          </w:p>
        </w:tc>
      </w:tr>
      <w:tr w:rsidR="00965D74" w:rsidRPr="00965D74" w14:paraId="238C57F5" w14:textId="77777777" w:rsidTr="00965D74">
        <w:tc>
          <w:tcPr>
            <w:tcW w:w="0" w:type="auto"/>
            <w:shd w:val="clear" w:color="auto" w:fill="auto"/>
            <w:vAlign w:val="center"/>
            <w:hideMark/>
          </w:tcPr>
          <w:p w14:paraId="7005A78D" w14:textId="77777777" w:rsidR="00965D74" w:rsidRPr="00965D74" w:rsidRDefault="00965D74" w:rsidP="00965D74">
            <w:pPr>
              <w:rPr>
                <w:b/>
                <w:bCs/>
                <w:lang w:val="en-US"/>
              </w:rPr>
            </w:pPr>
            <w:r w:rsidRPr="00965D74">
              <w:rPr>
                <w:b/>
                <w:bCs/>
                <w:lang w:val="en-US"/>
              </w:rPr>
              <w:t>50-69K</w:t>
            </w:r>
          </w:p>
        </w:tc>
        <w:tc>
          <w:tcPr>
            <w:tcW w:w="0" w:type="auto"/>
            <w:shd w:val="clear" w:color="auto" w:fill="auto"/>
            <w:tcMar>
              <w:top w:w="30" w:type="dxa"/>
              <w:left w:w="30" w:type="dxa"/>
              <w:bottom w:w="30" w:type="dxa"/>
              <w:right w:w="30" w:type="dxa"/>
            </w:tcMar>
            <w:vAlign w:val="center"/>
            <w:hideMark/>
          </w:tcPr>
          <w:p w14:paraId="23F9BE0A" w14:textId="77777777" w:rsidR="00965D74" w:rsidRPr="00965D74" w:rsidRDefault="00965D74" w:rsidP="00965D74">
            <w:pPr>
              <w:rPr>
                <w:lang w:val="en-US"/>
              </w:rPr>
            </w:pPr>
            <w:r w:rsidRPr="00965D74">
              <w:rPr>
                <w:lang w:val="en-US"/>
              </w:rPr>
              <w:t>17.2%</w:t>
            </w:r>
          </w:p>
        </w:tc>
        <w:tc>
          <w:tcPr>
            <w:tcW w:w="0" w:type="auto"/>
            <w:shd w:val="clear" w:color="auto" w:fill="auto"/>
            <w:tcMar>
              <w:top w:w="30" w:type="dxa"/>
              <w:left w:w="30" w:type="dxa"/>
              <w:bottom w:w="30" w:type="dxa"/>
              <w:right w:w="30" w:type="dxa"/>
            </w:tcMar>
            <w:vAlign w:val="center"/>
            <w:hideMark/>
          </w:tcPr>
          <w:p w14:paraId="3EFC5C2D" w14:textId="77777777" w:rsidR="00965D74" w:rsidRPr="00965D74" w:rsidRDefault="00965D74" w:rsidP="00965D74">
            <w:pPr>
              <w:rPr>
                <w:lang w:val="en-US"/>
              </w:rPr>
            </w:pPr>
            <w:r w:rsidRPr="00965D74">
              <w:rPr>
                <w:lang w:val="en-US"/>
              </w:rPr>
              <w:t>10.4%</w:t>
            </w:r>
          </w:p>
        </w:tc>
        <w:tc>
          <w:tcPr>
            <w:tcW w:w="0" w:type="auto"/>
            <w:shd w:val="clear" w:color="auto" w:fill="auto"/>
            <w:tcMar>
              <w:top w:w="30" w:type="dxa"/>
              <w:left w:w="30" w:type="dxa"/>
              <w:bottom w:w="30" w:type="dxa"/>
              <w:right w:w="30" w:type="dxa"/>
            </w:tcMar>
            <w:vAlign w:val="center"/>
            <w:hideMark/>
          </w:tcPr>
          <w:p w14:paraId="7268FC51" w14:textId="77777777" w:rsidR="00965D74" w:rsidRPr="00965D74" w:rsidRDefault="00965D74" w:rsidP="00965D74">
            <w:pPr>
              <w:rPr>
                <w:lang w:val="en-US"/>
              </w:rPr>
            </w:pPr>
            <w:r w:rsidRPr="00965D74">
              <w:rPr>
                <w:lang w:val="en-US"/>
              </w:rPr>
              <w:t>15%</w:t>
            </w:r>
          </w:p>
        </w:tc>
        <w:tc>
          <w:tcPr>
            <w:tcW w:w="0" w:type="auto"/>
            <w:shd w:val="clear" w:color="auto" w:fill="auto"/>
            <w:tcMar>
              <w:top w:w="30" w:type="dxa"/>
              <w:left w:w="30" w:type="dxa"/>
              <w:bottom w:w="30" w:type="dxa"/>
              <w:right w:w="30" w:type="dxa"/>
            </w:tcMar>
            <w:vAlign w:val="center"/>
            <w:hideMark/>
          </w:tcPr>
          <w:p w14:paraId="40A4A4B0" w14:textId="77777777" w:rsidR="00965D74" w:rsidRPr="00965D74" w:rsidRDefault="00965D74" w:rsidP="00965D74">
            <w:pPr>
              <w:rPr>
                <w:lang w:val="en-US"/>
              </w:rPr>
            </w:pPr>
            <w:r w:rsidRPr="00965D74">
              <w:rPr>
                <w:lang w:val="en-US"/>
              </w:rPr>
              <w:t>10.3%</w:t>
            </w:r>
          </w:p>
        </w:tc>
        <w:tc>
          <w:tcPr>
            <w:tcW w:w="0" w:type="auto"/>
            <w:shd w:val="clear" w:color="auto" w:fill="auto"/>
            <w:tcMar>
              <w:top w:w="30" w:type="dxa"/>
              <w:left w:w="30" w:type="dxa"/>
              <w:bottom w:w="30" w:type="dxa"/>
              <w:right w:w="30" w:type="dxa"/>
            </w:tcMar>
            <w:vAlign w:val="center"/>
            <w:hideMark/>
          </w:tcPr>
          <w:p w14:paraId="074ED81F" w14:textId="77777777" w:rsidR="00965D74" w:rsidRPr="00965D74" w:rsidRDefault="00965D74" w:rsidP="00965D74">
            <w:pPr>
              <w:rPr>
                <w:lang w:val="en-US"/>
              </w:rPr>
            </w:pPr>
            <w:r w:rsidRPr="00965D74">
              <w:rPr>
                <w:lang w:val="en-US"/>
              </w:rPr>
              <w:t>11.8%</w:t>
            </w:r>
          </w:p>
        </w:tc>
        <w:tc>
          <w:tcPr>
            <w:tcW w:w="0" w:type="auto"/>
            <w:shd w:val="clear" w:color="auto" w:fill="auto"/>
            <w:tcMar>
              <w:top w:w="30" w:type="dxa"/>
              <w:left w:w="30" w:type="dxa"/>
              <w:bottom w:w="30" w:type="dxa"/>
              <w:right w:w="30" w:type="dxa"/>
            </w:tcMar>
            <w:vAlign w:val="center"/>
            <w:hideMark/>
          </w:tcPr>
          <w:p w14:paraId="76C5CB1D" w14:textId="77777777" w:rsidR="00965D74" w:rsidRPr="00965D74" w:rsidRDefault="00965D74" w:rsidP="00965D74">
            <w:pPr>
              <w:rPr>
                <w:lang w:val="en-US"/>
              </w:rPr>
            </w:pPr>
            <w:r w:rsidRPr="00965D74">
              <w:rPr>
                <w:lang w:val="en-US"/>
              </w:rPr>
              <w:t>10.5%</w:t>
            </w:r>
          </w:p>
        </w:tc>
        <w:tc>
          <w:tcPr>
            <w:tcW w:w="0" w:type="auto"/>
            <w:shd w:val="clear" w:color="auto" w:fill="auto"/>
            <w:tcMar>
              <w:top w:w="30" w:type="dxa"/>
              <w:left w:w="30" w:type="dxa"/>
              <w:bottom w:w="30" w:type="dxa"/>
              <w:right w:w="30" w:type="dxa"/>
            </w:tcMar>
            <w:vAlign w:val="center"/>
            <w:hideMark/>
          </w:tcPr>
          <w:p w14:paraId="1D0E1E09" w14:textId="77777777" w:rsidR="00965D74" w:rsidRPr="00965D74" w:rsidRDefault="00965D74" w:rsidP="00965D74">
            <w:pPr>
              <w:rPr>
                <w:lang w:val="en-US"/>
              </w:rPr>
            </w:pPr>
            <w:r w:rsidRPr="00965D74">
              <w:rPr>
                <w:lang w:val="en-US"/>
              </w:rPr>
              <w:t>12.1%</w:t>
            </w:r>
          </w:p>
        </w:tc>
        <w:tc>
          <w:tcPr>
            <w:tcW w:w="0" w:type="auto"/>
            <w:shd w:val="clear" w:color="auto" w:fill="auto"/>
            <w:tcMar>
              <w:top w:w="30" w:type="dxa"/>
              <w:left w:w="30" w:type="dxa"/>
              <w:bottom w:w="30" w:type="dxa"/>
              <w:right w:w="30" w:type="dxa"/>
            </w:tcMar>
            <w:vAlign w:val="center"/>
            <w:hideMark/>
          </w:tcPr>
          <w:p w14:paraId="41A2F48B" w14:textId="77777777" w:rsidR="00965D74" w:rsidRPr="00965D74" w:rsidRDefault="00965D74" w:rsidP="00965D74">
            <w:pPr>
              <w:rPr>
                <w:lang w:val="en-US"/>
              </w:rPr>
            </w:pPr>
            <w:r w:rsidRPr="00965D74">
              <w:rPr>
                <w:lang w:val="en-US"/>
              </w:rPr>
              <w:t>14.6%</w:t>
            </w:r>
          </w:p>
        </w:tc>
      </w:tr>
      <w:tr w:rsidR="00965D74" w:rsidRPr="00965D74" w14:paraId="7C73D108" w14:textId="77777777" w:rsidTr="00965D74">
        <w:tc>
          <w:tcPr>
            <w:tcW w:w="0" w:type="auto"/>
            <w:shd w:val="clear" w:color="auto" w:fill="auto"/>
            <w:vAlign w:val="center"/>
            <w:hideMark/>
          </w:tcPr>
          <w:p w14:paraId="5A171537" w14:textId="77777777" w:rsidR="00965D74" w:rsidRPr="00965D74" w:rsidRDefault="00965D74" w:rsidP="00965D74">
            <w:pPr>
              <w:rPr>
                <w:b/>
                <w:bCs/>
                <w:lang w:val="en-US"/>
              </w:rPr>
            </w:pPr>
            <w:r w:rsidRPr="00965D74">
              <w:rPr>
                <w:b/>
                <w:bCs/>
                <w:lang w:val="en-US"/>
              </w:rPr>
              <w:t>70-99K</w:t>
            </w:r>
          </w:p>
        </w:tc>
        <w:tc>
          <w:tcPr>
            <w:tcW w:w="0" w:type="auto"/>
            <w:shd w:val="clear" w:color="auto" w:fill="auto"/>
            <w:tcMar>
              <w:top w:w="30" w:type="dxa"/>
              <w:left w:w="30" w:type="dxa"/>
              <w:bottom w:w="30" w:type="dxa"/>
              <w:right w:w="30" w:type="dxa"/>
            </w:tcMar>
            <w:vAlign w:val="center"/>
            <w:hideMark/>
          </w:tcPr>
          <w:p w14:paraId="4295B632" w14:textId="77777777" w:rsidR="00965D74" w:rsidRPr="00965D74" w:rsidRDefault="00965D74" w:rsidP="00965D74">
            <w:pPr>
              <w:rPr>
                <w:lang w:val="en-US"/>
              </w:rPr>
            </w:pPr>
            <w:r w:rsidRPr="00965D74">
              <w:rPr>
                <w:lang w:val="en-US"/>
              </w:rPr>
              <w:t>10.6%</w:t>
            </w:r>
          </w:p>
        </w:tc>
        <w:tc>
          <w:tcPr>
            <w:tcW w:w="0" w:type="auto"/>
            <w:shd w:val="clear" w:color="auto" w:fill="auto"/>
            <w:tcMar>
              <w:top w:w="30" w:type="dxa"/>
              <w:left w:w="30" w:type="dxa"/>
              <w:bottom w:w="30" w:type="dxa"/>
              <w:right w:w="30" w:type="dxa"/>
            </w:tcMar>
            <w:vAlign w:val="center"/>
            <w:hideMark/>
          </w:tcPr>
          <w:p w14:paraId="047B867E" w14:textId="77777777" w:rsidR="00965D74" w:rsidRPr="00965D74" w:rsidRDefault="00965D74" w:rsidP="00965D74">
            <w:pPr>
              <w:rPr>
                <w:lang w:val="en-US"/>
              </w:rPr>
            </w:pPr>
            <w:r w:rsidRPr="00965D74">
              <w:rPr>
                <w:lang w:val="en-US"/>
              </w:rPr>
              <w:t>4.5%</w:t>
            </w:r>
          </w:p>
        </w:tc>
        <w:tc>
          <w:tcPr>
            <w:tcW w:w="0" w:type="auto"/>
            <w:shd w:val="clear" w:color="auto" w:fill="auto"/>
            <w:tcMar>
              <w:top w:w="30" w:type="dxa"/>
              <w:left w:w="30" w:type="dxa"/>
              <w:bottom w:w="30" w:type="dxa"/>
              <w:right w:w="30" w:type="dxa"/>
            </w:tcMar>
            <w:vAlign w:val="center"/>
            <w:hideMark/>
          </w:tcPr>
          <w:p w14:paraId="11E33996" w14:textId="77777777" w:rsidR="00965D74" w:rsidRPr="00965D74" w:rsidRDefault="00965D74" w:rsidP="00965D74">
            <w:pPr>
              <w:rPr>
                <w:lang w:val="en-US"/>
              </w:rPr>
            </w:pPr>
            <w:r w:rsidRPr="00965D74">
              <w:rPr>
                <w:lang w:val="en-US"/>
              </w:rPr>
              <w:t>11.4%</w:t>
            </w:r>
          </w:p>
        </w:tc>
        <w:tc>
          <w:tcPr>
            <w:tcW w:w="0" w:type="auto"/>
            <w:shd w:val="clear" w:color="auto" w:fill="auto"/>
            <w:tcMar>
              <w:top w:w="30" w:type="dxa"/>
              <w:left w:w="30" w:type="dxa"/>
              <w:bottom w:w="30" w:type="dxa"/>
              <w:right w:w="30" w:type="dxa"/>
            </w:tcMar>
            <w:vAlign w:val="center"/>
            <w:hideMark/>
          </w:tcPr>
          <w:p w14:paraId="5524F09B" w14:textId="77777777" w:rsidR="00965D74" w:rsidRPr="00965D74" w:rsidRDefault="00965D74" w:rsidP="00965D74">
            <w:pPr>
              <w:rPr>
                <w:lang w:val="en-US"/>
              </w:rPr>
            </w:pPr>
            <w:r w:rsidRPr="00965D74">
              <w:rPr>
                <w:lang w:val="en-US"/>
              </w:rPr>
              <w:t>5.3%</w:t>
            </w:r>
          </w:p>
        </w:tc>
        <w:tc>
          <w:tcPr>
            <w:tcW w:w="0" w:type="auto"/>
            <w:shd w:val="clear" w:color="auto" w:fill="auto"/>
            <w:tcMar>
              <w:top w:w="30" w:type="dxa"/>
              <w:left w:w="30" w:type="dxa"/>
              <w:bottom w:w="30" w:type="dxa"/>
              <w:right w:w="30" w:type="dxa"/>
            </w:tcMar>
            <w:vAlign w:val="center"/>
            <w:hideMark/>
          </w:tcPr>
          <w:p w14:paraId="052F3E3B" w14:textId="77777777" w:rsidR="00965D74" w:rsidRPr="00965D74" w:rsidRDefault="00965D74" w:rsidP="00965D74">
            <w:pPr>
              <w:rPr>
                <w:lang w:val="en-US"/>
              </w:rPr>
            </w:pPr>
            <w:r w:rsidRPr="00965D74">
              <w:rPr>
                <w:lang w:val="en-US"/>
              </w:rPr>
              <w:t>6.5%</w:t>
            </w:r>
          </w:p>
        </w:tc>
        <w:tc>
          <w:tcPr>
            <w:tcW w:w="0" w:type="auto"/>
            <w:shd w:val="clear" w:color="auto" w:fill="auto"/>
            <w:tcMar>
              <w:top w:w="30" w:type="dxa"/>
              <w:left w:w="30" w:type="dxa"/>
              <w:bottom w:w="30" w:type="dxa"/>
              <w:right w:w="30" w:type="dxa"/>
            </w:tcMar>
            <w:vAlign w:val="center"/>
            <w:hideMark/>
          </w:tcPr>
          <w:p w14:paraId="007321B3" w14:textId="77777777" w:rsidR="00965D74" w:rsidRPr="00965D74" w:rsidRDefault="00965D74" w:rsidP="00965D74">
            <w:pPr>
              <w:rPr>
                <w:lang w:val="en-US"/>
              </w:rPr>
            </w:pPr>
            <w:r w:rsidRPr="00965D74">
              <w:rPr>
                <w:lang w:val="en-US"/>
              </w:rPr>
              <w:t>5.6%</w:t>
            </w:r>
          </w:p>
        </w:tc>
        <w:tc>
          <w:tcPr>
            <w:tcW w:w="0" w:type="auto"/>
            <w:shd w:val="clear" w:color="auto" w:fill="auto"/>
            <w:tcMar>
              <w:top w:w="30" w:type="dxa"/>
              <w:left w:w="30" w:type="dxa"/>
              <w:bottom w:w="30" w:type="dxa"/>
              <w:right w:w="30" w:type="dxa"/>
            </w:tcMar>
            <w:vAlign w:val="center"/>
            <w:hideMark/>
          </w:tcPr>
          <w:p w14:paraId="5BE06F59" w14:textId="77777777" w:rsidR="00965D74" w:rsidRPr="00965D74" w:rsidRDefault="00965D74" w:rsidP="00965D74">
            <w:pPr>
              <w:rPr>
                <w:lang w:val="en-US"/>
              </w:rPr>
            </w:pPr>
            <w:r w:rsidRPr="00965D74">
              <w:rPr>
                <w:lang w:val="en-US"/>
              </w:rPr>
              <w:t>8%</w:t>
            </w:r>
          </w:p>
        </w:tc>
        <w:tc>
          <w:tcPr>
            <w:tcW w:w="0" w:type="auto"/>
            <w:shd w:val="clear" w:color="auto" w:fill="auto"/>
            <w:tcMar>
              <w:top w:w="30" w:type="dxa"/>
              <w:left w:w="30" w:type="dxa"/>
              <w:bottom w:w="30" w:type="dxa"/>
              <w:right w:w="30" w:type="dxa"/>
            </w:tcMar>
            <w:vAlign w:val="center"/>
            <w:hideMark/>
          </w:tcPr>
          <w:p w14:paraId="4C1C8053" w14:textId="77777777" w:rsidR="00965D74" w:rsidRPr="00965D74" w:rsidRDefault="00965D74" w:rsidP="00965D74">
            <w:pPr>
              <w:rPr>
                <w:lang w:val="en-US"/>
              </w:rPr>
            </w:pPr>
            <w:r w:rsidRPr="00965D74">
              <w:rPr>
                <w:lang w:val="en-US"/>
              </w:rPr>
              <w:t>8.6%</w:t>
            </w:r>
          </w:p>
        </w:tc>
      </w:tr>
      <w:tr w:rsidR="00965D74" w:rsidRPr="00965D74" w14:paraId="5708BC28" w14:textId="77777777" w:rsidTr="00965D74">
        <w:tc>
          <w:tcPr>
            <w:tcW w:w="0" w:type="auto"/>
            <w:shd w:val="clear" w:color="auto" w:fill="auto"/>
            <w:vAlign w:val="center"/>
            <w:hideMark/>
          </w:tcPr>
          <w:p w14:paraId="02271ACB" w14:textId="77777777" w:rsidR="00965D74" w:rsidRPr="00965D74" w:rsidRDefault="00965D74" w:rsidP="00965D74">
            <w:pPr>
              <w:rPr>
                <w:b/>
                <w:bCs/>
                <w:lang w:val="en-US"/>
              </w:rPr>
            </w:pPr>
            <w:r w:rsidRPr="00965D74">
              <w:rPr>
                <w:b/>
                <w:bCs/>
                <w:lang w:val="en-US"/>
              </w:rPr>
              <w:t>100K+</w:t>
            </w:r>
          </w:p>
        </w:tc>
        <w:tc>
          <w:tcPr>
            <w:tcW w:w="0" w:type="auto"/>
            <w:shd w:val="clear" w:color="auto" w:fill="auto"/>
            <w:tcMar>
              <w:top w:w="30" w:type="dxa"/>
              <w:left w:w="30" w:type="dxa"/>
              <w:bottom w:w="30" w:type="dxa"/>
              <w:right w:w="30" w:type="dxa"/>
            </w:tcMar>
            <w:vAlign w:val="center"/>
            <w:hideMark/>
          </w:tcPr>
          <w:p w14:paraId="313B8D07" w14:textId="77777777" w:rsidR="00965D74" w:rsidRPr="00965D74" w:rsidRDefault="00965D74" w:rsidP="00965D74">
            <w:pPr>
              <w:rPr>
                <w:lang w:val="en-US"/>
              </w:rPr>
            </w:pPr>
            <w:r w:rsidRPr="00965D74">
              <w:rPr>
                <w:lang w:val="en-US"/>
              </w:rPr>
              <w:t>9.9%</w:t>
            </w:r>
          </w:p>
        </w:tc>
        <w:tc>
          <w:tcPr>
            <w:tcW w:w="0" w:type="auto"/>
            <w:shd w:val="clear" w:color="auto" w:fill="auto"/>
            <w:tcMar>
              <w:top w:w="30" w:type="dxa"/>
              <w:left w:w="30" w:type="dxa"/>
              <w:bottom w:w="30" w:type="dxa"/>
              <w:right w:w="30" w:type="dxa"/>
            </w:tcMar>
            <w:vAlign w:val="center"/>
            <w:hideMark/>
          </w:tcPr>
          <w:p w14:paraId="549E109F" w14:textId="77777777" w:rsidR="00965D74" w:rsidRPr="00965D74" w:rsidRDefault="00965D74" w:rsidP="00965D74">
            <w:pPr>
              <w:rPr>
                <w:lang w:val="en-US"/>
              </w:rPr>
            </w:pPr>
            <w:r w:rsidRPr="00965D74">
              <w:rPr>
                <w:lang w:val="en-US"/>
              </w:rPr>
              <w:t>2%</w:t>
            </w:r>
          </w:p>
        </w:tc>
        <w:tc>
          <w:tcPr>
            <w:tcW w:w="0" w:type="auto"/>
            <w:shd w:val="clear" w:color="auto" w:fill="auto"/>
            <w:tcMar>
              <w:top w:w="30" w:type="dxa"/>
              <w:left w:w="30" w:type="dxa"/>
              <w:bottom w:w="30" w:type="dxa"/>
              <w:right w:w="30" w:type="dxa"/>
            </w:tcMar>
            <w:vAlign w:val="center"/>
            <w:hideMark/>
          </w:tcPr>
          <w:p w14:paraId="4EF094C1" w14:textId="77777777" w:rsidR="00965D74" w:rsidRPr="00965D74" w:rsidRDefault="00965D74" w:rsidP="00965D74">
            <w:pPr>
              <w:rPr>
                <w:lang w:val="en-US"/>
              </w:rPr>
            </w:pPr>
            <w:r w:rsidRPr="00965D74">
              <w:rPr>
                <w:lang w:val="en-US"/>
              </w:rPr>
              <w:t>9.4%</w:t>
            </w:r>
          </w:p>
        </w:tc>
        <w:tc>
          <w:tcPr>
            <w:tcW w:w="0" w:type="auto"/>
            <w:shd w:val="clear" w:color="auto" w:fill="auto"/>
            <w:tcMar>
              <w:top w:w="30" w:type="dxa"/>
              <w:left w:w="30" w:type="dxa"/>
              <w:bottom w:w="30" w:type="dxa"/>
              <w:right w:w="30" w:type="dxa"/>
            </w:tcMar>
            <w:vAlign w:val="center"/>
            <w:hideMark/>
          </w:tcPr>
          <w:p w14:paraId="7E8786A7" w14:textId="77777777" w:rsidR="00965D74" w:rsidRPr="00965D74" w:rsidRDefault="00965D74" w:rsidP="00965D74">
            <w:pPr>
              <w:rPr>
                <w:lang w:val="en-US"/>
              </w:rPr>
            </w:pPr>
            <w:r w:rsidRPr="00965D74">
              <w:rPr>
                <w:lang w:val="en-US"/>
              </w:rPr>
              <w:t>4.6%</w:t>
            </w:r>
          </w:p>
        </w:tc>
        <w:tc>
          <w:tcPr>
            <w:tcW w:w="0" w:type="auto"/>
            <w:shd w:val="clear" w:color="auto" w:fill="auto"/>
            <w:tcMar>
              <w:top w:w="30" w:type="dxa"/>
              <w:left w:w="30" w:type="dxa"/>
              <w:bottom w:w="30" w:type="dxa"/>
              <w:right w:w="30" w:type="dxa"/>
            </w:tcMar>
            <w:vAlign w:val="center"/>
            <w:hideMark/>
          </w:tcPr>
          <w:p w14:paraId="3045AD01" w14:textId="77777777" w:rsidR="00965D74" w:rsidRPr="00965D74" w:rsidRDefault="00965D74" w:rsidP="00965D74">
            <w:pPr>
              <w:rPr>
                <w:lang w:val="en-US"/>
              </w:rPr>
            </w:pPr>
            <w:r w:rsidRPr="00965D74">
              <w:rPr>
                <w:lang w:val="en-US"/>
              </w:rPr>
              <w:t>2.8%</w:t>
            </w:r>
          </w:p>
        </w:tc>
        <w:tc>
          <w:tcPr>
            <w:tcW w:w="0" w:type="auto"/>
            <w:shd w:val="clear" w:color="auto" w:fill="auto"/>
            <w:tcMar>
              <w:top w:w="30" w:type="dxa"/>
              <w:left w:w="30" w:type="dxa"/>
              <w:bottom w:w="30" w:type="dxa"/>
              <w:right w:w="30" w:type="dxa"/>
            </w:tcMar>
            <w:vAlign w:val="center"/>
            <w:hideMark/>
          </w:tcPr>
          <w:p w14:paraId="7C0ACE69" w14:textId="77777777" w:rsidR="00965D74" w:rsidRPr="00965D74" w:rsidRDefault="00965D74" w:rsidP="00965D74">
            <w:pPr>
              <w:rPr>
                <w:lang w:val="en-US"/>
              </w:rPr>
            </w:pPr>
            <w:r w:rsidRPr="00965D74">
              <w:rPr>
                <w:lang w:val="en-US"/>
              </w:rPr>
              <w:t>2.7%</w:t>
            </w:r>
          </w:p>
        </w:tc>
        <w:tc>
          <w:tcPr>
            <w:tcW w:w="0" w:type="auto"/>
            <w:shd w:val="clear" w:color="auto" w:fill="auto"/>
            <w:tcMar>
              <w:top w:w="30" w:type="dxa"/>
              <w:left w:w="30" w:type="dxa"/>
              <w:bottom w:w="30" w:type="dxa"/>
              <w:right w:w="30" w:type="dxa"/>
            </w:tcMar>
            <w:vAlign w:val="center"/>
            <w:hideMark/>
          </w:tcPr>
          <w:p w14:paraId="459D842F" w14:textId="77777777" w:rsidR="00965D74" w:rsidRPr="00965D74" w:rsidRDefault="00965D74" w:rsidP="00965D74">
            <w:pPr>
              <w:rPr>
                <w:lang w:val="en-US"/>
              </w:rPr>
            </w:pPr>
            <w:r w:rsidRPr="00965D74">
              <w:rPr>
                <w:lang w:val="en-US"/>
              </w:rPr>
              <w:t>5.1%</w:t>
            </w:r>
          </w:p>
        </w:tc>
        <w:tc>
          <w:tcPr>
            <w:tcW w:w="0" w:type="auto"/>
            <w:shd w:val="clear" w:color="auto" w:fill="auto"/>
            <w:tcMar>
              <w:top w:w="30" w:type="dxa"/>
              <w:left w:w="30" w:type="dxa"/>
              <w:bottom w:w="30" w:type="dxa"/>
              <w:right w:w="30" w:type="dxa"/>
            </w:tcMar>
            <w:vAlign w:val="center"/>
            <w:hideMark/>
          </w:tcPr>
          <w:p w14:paraId="46E4EA99" w14:textId="77777777" w:rsidR="00965D74" w:rsidRPr="00965D74" w:rsidRDefault="00965D74" w:rsidP="00965D74">
            <w:pPr>
              <w:rPr>
                <w:lang w:val="en-US"/>
              </w:rPr>
            </w:pPr>
            <w:r w:rsidRPr="00965D74">
              <w:rPr>
                <w:lang w:val="en-US"/>
              </w:rPr>
              <w:t>7.6%</w:t>
            </w:r>
          </w:p>
        </w:tc>
      </w:tr>
      <w:tr w:rsidR="00965D74" w:rsidRPr="00965D74" w14:paraId="06554BF1" w14:textId="77777777" w:rsidTr="00965D74">
        <w:tc>
          <w:tcPr>
            <w:tcW w:w="0" w:type="auto"/>
            <w:shd w:val="clear" w:color="auto" w:fill="auto"/>
            <w:vAlign w:val="center"/>
            <w:hideMark/>
          </w:tcPr>
          <w:p w14:paraId="05273CCD" w14:textId="77777777" w:rsidR="00965D74" w:rsidRPr="00965D74" w:rsidRDefault="00965D74" w:rsidP="00965D74">
            <w:pPr>
              <w:rPr>
                <w:b/>
                <w:bCs/>
                <w:lang w:val="en-US"/>
              </w:rPr>
            </w:pPr>
            <w:r w:rsidRPr="00965D74">
              <w:rPr>
                <w:b/>
                <w:bCs/>
                <w:lang w:val="en-US"/>
              </w:rPr>
              <w:t>Total</w:t>
            </w:r>
          </w:p>
        </w:tc>
        <w:tc>
          <w:tcPr>
            <w:tcW w:w="0" w:type="auto"/>
            <w:shd w:val="clear" w:color="auto" w:fill="auto"/>
            <w:tcMar>
              <w:top w:w="30" w:type="dxa"/>
              <w:left w:w="30" w:type="dxa"/>
              <w:bottom w:w="30" w:type="dxa"/>
              <w:right w:w="30" w:type="dxa"/>
            </w:tcMar>
            <w:vAlign w:val="center"/>
            <w:hideMark/>
          </w:tcPr>
          <w:p w14:paraId="4D543806" w14:textId="77777777" w:rsidR="00965D74" w:rsidRPr="00965D74" w:rsidRDefault="00965D74" w:rsidP="00965D74">
            <w:pPr>
              <w:rPr>
                <w:lang w:val="en-US"/>
              </w:rPr>
            </w:pPr>
            <w:r w:rsidRPr="00965D74">
              <w:rPr>
                <w:lang w:val="en-US"/>
              </w:rPr>
              <w:t>100%</w:t>
            </w:r>
          </w:p>
        </w:tc>
        <w:tc>
          <w:tcPr>
            <w:tcW w:w="0" w:type="auto"/>
            <w:shd w:val="clear" w:color="auto" w:fill="auto"/>
            <w:tcMar>
              <w:top w:w="30" w:type="dxa"/>
              <w:left w:w="30" w:type="dxa"/>
              <w:bottom w:w="30" w:type="dxa"/>
              <w:right w:w="30" w:type="dxa"/>
            </w:tcMar>
            <w:vAlign w:val="center"/>
            <w:hideMark/>
          </w:tcPr>
          <w:p w14:paraId="32F616D2" w14:textId="77777777" w:rsidR="00965D74" w:rsidRPr="00965D74" w:rsidRDefault="00965D74" w:rsidP="00965D74">
            <w:pPr>
              <w:rPr>
                <w:lang w:val="en-US"/>
              </w:rPr>
            </w:pPr>
            <w:r w:rsidRPr="00965D74">
              <w:rPr>
                <w:lang w:val="en-US"/>
              </w:rPr>
              <w:t>100%</w:t>
            </w:r>
          </w:p>
        </w:tc>
        <w:tc>
          <w:tcPr>
            <w:tcW w:w="0" w:type="auto"/>
            <w:shd w:val="clear" w:color="auto" w:fill="auto"/>
            <w:tcMar>
              <w:top w:w="30" w:type="dxa"/>
              <w:left w:w="30" w:type="dxa"/>
              <w:bottom w:w="30" w:type="dxa"/>
              <w:right w:w="30" w:type="dxa"/>
            </w:tcMar>
            <w:vAlign w:val="center"/>
            <w:hideMark/>
          </w:tcPr>
          <w:p w14:paraId="25D64B8F" w14:textId="77777777" w:rsidR="00965D74" w:rsidRPr="00965D74" w:rsidRDefault="00965D74" w:rsidP="00965D74">
            <w:pPr>
              <w:rPr>
                <w:lang w:val="en-US"/>
              </w:rPr>
            </w:pPr>
            <w:r w:rsidRPr="00965D74">
              <w:rPr>
                <w:lang w:val="en-US"/>
              </w:rPr>
              <w:t>100%</w:t>
            </w:r>
          </w:p>
        </w:tc>
        <w:tc>
          <w:tcPr>
            <w:tcW w:w="0" w:type="auto"/>
            <w:shd w:val="clear" w:color="auto" w:fill="auto"/>
            <w:tcMar>
              <w:top w:w="30" w:type="dxa"/>
              <w:left w:w="30" w:type="dxa"/>
              <w:bottom w:w="30" w:type="dxa"/>
              <w:right w:w="30" w:type="dxa"/>
            </w:tcMar>
            <w:vAlign w:val="center"/>
            <w:hideMark/>
          </w:tcPr>
          <w:p w14:paraId="291D7B8D" w14:textId="77777777" w:rsidR="00965D74" w:rsidRPr="00965D74" w:rsidRDefault="00965D74" w:rsidP="00965D74">
            <w:pPr>
              <w:rPr>
                <w:lang w:val="en-US"/>
              </w:rPr>
            </w:pPr>
            <w:r w:rsidRPr="00965D74">
              <w:rPr>
                <w:lang w:val="en-US"/>
              </w:rPr>
              <w:t>100%</w:t>
            </w:r>
          </w:p>
        </w:tc>
        <w:tc>
          <w:tcPr>
            <w:tcW w:w="0" w:type="auto"/>
            <w:shd w:val="clear" w:color="auto" w:fill="auto"/>
            <w:tcMar>
              <w:top w:w="30" w:type="dxa"/>
              <w:left w:w="30" w:type="dxa"/>
              <w:bottom w:w="30" w:type="dxa"/>
              <w:right w:w="30" w:type="dxa"/>
            </w:tcMar>
            <w:vAlign w:val="center"/>
            <w:hideMark/>
          </w:tcPr>
          <w:p w14:paraId="6B199874" w14:textId="77777777" w:rsidR="00965D74" w:rsidRPr="00965D74" w:rsidRDefault="00965D74" w:rsidP="00965D74">
            <w:pPr>
              <w:rPr>
                <w:lang w:val="en-US"/>
              </w:rPr>
            </w:pPr>
            <w:r w:rsidRPr="00965D74">
              <w:rPr>
                <w:lang w:val="en-US"/>
              </w:rPr>
              <w:t>100%</w:t>
            </w:r>
          </w:p>
        </w:tc>
        <w:tc>
          <w:tcPr>
            <w:tcW w:w="0" w:type="auto"/>
            <w:shd w:val="clear" w:color="auto" w:fill="auto"/>
            <w:tcMar>
              <w:top w:w="30" w:type="dxa"/>
              <w:left w:w="30" w:type="dxa"/>
              <w:bottom w:w="30" w:type="dxa"/>
              <w:right w:w="30" w:type="dxa"/>
            </w:tcMar>
            <w:vAlign w:val="center"/>
            <w:hideMark/>
          </w:tcPr>
          <w:p w14:paraId="4FFA77E0" w14:textId="77777777" w:rsidR="00965D74" w:rsidRPr="00965D74" w:rsidRDefault="00965D74" w:rsidP="00965D74">
            <w:pPr>
              <w:rPr>
                <w:lang w:val="en-US"/>
              </w:rPr>
            </w:pPr>
            <w:r w:rsidRPr="00965D74">
              <w:rPr>
                <w:lang w:val="en-US"/>
              </w:rPr>
              <w:t>100%</w:t>
            </w:r>
          </w:p>
        </w:tc>
        <w:tc>
          <w:tcPr>
            <w:tcW w:w="0" w:type="auto"/>
            <w:shd w:val="clear" w:color="auto" w:fill="auto"/>
            <w:tcMar>
              <w:top w:w="30" w:type="dxa"/>
              <w:left w:w="30" w:type="dxa"/>
              <w:bottom w:w="30" w:type="dxa"/>
              <w:right w:w="30" w:type="dxa"/>
            </w:tcMar>
            <w:vAlign w:val="center"/>
            <w:hideMark/>
          </w:tcPr>
          <w:p w14:paraId="56D5AF34" w14:textId="77777777" w:rsidR="00965D74" w:rsidRPr="00965D74" w:rsidRDefault="00965D74" w:rsidP="00965D74">
            <w:pPr>
              <w:rPr>
                <w:lang w:val="en-US"/>
              </w:rPr>
            </w:pPr>
            <w:r w:rsidRPr="00965D74">
              <w:rPr>
                <w:lang w:val="en-US"/>
              </w:rPr>
              <w:t>100%</w:t>
            </w:r>
          </w:p>
        </w:tc>
        <w:tc>
          <w:tcPr>
            <w:tcW w:w="0" w:type="auto"/>
            <w:shd w:val="clear" w:color="auto" w:fill="auto"/>
            <w:tcMar>
              <w:top w:w="30" w:type="dxa"/>
              <w:left w:w="30" w:type="dxa"/>
              <w:bottom w:w="30" w:type="dxa"/>
              <w:right w:w="30" w:type="dxa"/>
            </w:tcMar>
            <w:vAlign w:val="center"/>
            <w:hideMark/>
          </w:tcPr>
          <w:p w14:paraId="5EAF4E22" w14:textId="77777777" w:rsidR="00965D74" w:rsidRPr="00965D74" w:rsidRDefault="00965D74" w:rsidP="00965D74">
            <w:pPr>
              <w:rPr>
                <w:lang w:val="en-US"/>
              </w:rPr>
            </w:pPr>
            <w:r w:rsidRPr="00965D74">
              <w:rPr>
                <w:lang w:val="en-US"/>
              </w:rPr>
              <w:t>100%</w:t>
            </w:r>
          </w:p>
        </w:tc>
      </w:tr>
    </w:tbl>
    <w:p w14:paraId="114F0B02" w14:textId="77777777" w:rsidR="00965D74" w:rsidRPr="00965D74" w:rsidRDefault="00965D74" w:rsidP="00965D74">
      <w:pPr>
        <w:rPr>
          <w:lang w:val="en-US"/>
        </w:rPr>
      </w:pPr>
      <w:r w:rsidRPr="00965D74">
        <w:rPr>
          <w:b/>
          <w:bCs/>
          <w:lang w:val="en-US"/>
        </w:rPr>
        <w:t> </w:t>
      </w:r>
    </w:p>
    <w:tbl>
      <w:tblPr>
        <w:tblW w:w="10290" w:type="dxa"/>
        <w:tblCellMar>
          <w:top w:w="15" w:type="dxa"/>
          <w:left w:w="15" w:type="dxa"/>
          <w:bottom w:w="15" w:type="dxa"/>
          <w:right w:w="15" w:type="dxa"/>
        </w:tblCellMar>
        <w:tblLook w:val="04A0" w:firstRow="1" w:lastRow="0" w:firstColumn="1" w:lastColumn="0" w:noHBand="0" w:noVBand="1"/>
      </w:tblPr>
      <w:tblGrid>
        <w:gridCol w:w="1003"/>
        <w:gridCol w:w="1326"/>
        <w:gridCol w:w="924"/>
        <w:gridCol w:w="1394"/>
        <w:gridCol w:w="924"/>
        <w:gridCol w:w="1208"/>
        <w:gridCol w:w="1295"/>
        <w:gridCol w:w="1292"/>
        <w:gridCol w:w="924"/>
      </w:tblGrid>
      <w:tr w:rsidR="00965D74" w:rsidRPr="00965D74" w14:paraId="078896B3" w14:textId="77777777" w:rsidTr="00965D74">
        <w:tc>
          <w:tcPr>
            <w:tcW w:w="0" w:type="auto"/>
            <w:gridSpan w:val="9"/>
            <w:tcBorders>
              <w:top w:val="nil"/>
              <w:left w:val="nil"/>
              <w:bottom w:val="nil"/>
              <w:right w:val="nil"/>
            </w:tcBorders>
            <w:shd w:val="clear" w:color="auto" w:fill="auto"/>
            <w:vAlign w:val="center"/>
            <w:hideMark/>
          </w:tcPr>
          <w:p w14:paraId="206616E2" w14:textId="77777777" w:rsidR="00965D74" w:rsidRPr="00965D74" w:rsidRDefault="00965D74" w:rsidP="00965D74">
            <w:pPr>
              <w:rPr>
                <w:lang w:val="en-US"/>
              </w:rPr>
            </w:pPr>
            <w:r w:rsidRPr="00965D74">
              <w:rPr>
                <w:lang w:val="en-US"/>
              </w:rPr>
              <w:t>2016 Social Science Data Analysis Network – Florida – Percent Down: Earn3/RaceEth</w:t>
            </w:r>
          </w:p>
        </w:tc>
      </w:tr>
      <w:tr w:rsidR="00965D74" w:rsidRPr="00965D74" w14:paraId="187F3BF3" w14:textId="77777777" w:rsidTr="00965D74">
        <w:tc>
          <w:tcPr>
            <w:tcW w:w="0" w:type="auto"/>
            <w:shd w:val="clear" w:color="auto" w:fill="auto"/>
            <w:vAlign w:val="center"/>
            <w:hideMark/>
          </w:tcPr>
          <w:p w14:paraId="1E0A0627" w14:textId="77777777" w:rsidR="00965D74" w:rsidRPr="00965D74" w:rsidRDefault="00965D74" w:rsidP="00965D74">
            <w:pPr>
              <w:rPr>
                <w:lang w:val="en-US"/>
              </w:rPr>
            </w:pPr>
          </w:p>
        </w:tc>
        <w:tc>
          <w:tcPr>
            <w:tcW w:w="0" w:type="auto"/>
            <w:shd w:val="clear" w:color="auto" w:fill="auto"/>
            <w:vAlign w:val="center"/>
            <w:hideMark/>
          </w:tcPr>
          <w:p w14:paraId="019AD7B2" w14:textId="77777777" w:rsidR="00965D74" w:rsidRPr="00965D74" w:rsidRDefault="00965D74" w:rsidP="00965D74">
            <w:pPr>
              <w:rPr>
                <w:b/>
                <w:bCs/>
                <w:lang w:val="en-US"/>
              </w:rPr>
            </w:pPr>
            <w:r w:rsidRPr="00965D74">
              <w:rPr>
                <w:b/>
                <w:bCs/>
                <w:lang w:val="en-US"/>
              </w:rPr>
              <w:t>NHWhite</w:t>
            </w:r>
          </w:p>
        </w:tc>
        <w:tc>
          <w:tcPr>
            <w:tcW w:w="0" w:type="auto"/>
            <w:shd w:val="clear" w:color="auto" w:fill="auto"/>
            <w:vAlign w:val="center"/>
            <w:hideMark/>
          </w:tcPr>
          <w:p w14:paraId="2C516CC1" w14:textId="77777777" w:rsidR="00965D74" w:rsidRPr="00965D74" w:rsidRDefault="00965D74" w:rsidP="00965D74">
            <w:pPr>
              <w:rPr>
                <w:b/>
                <w:bCs/>
                <w:lang w:val="en-US"/>
              </w:rPr>
            </w:pPr>
            <w:r w:rsidRPr="00965D74">
              <w:rPr>
                <w:b/>
                <w:bCs/>
                <w:lang w:val="en-US"/>
              </w:rPr>
              <w:t>Black</w:t>
            </w:r>
          </w:p>
        </w:tc>
        <w:tc>
          <w:tcPr>
            <w:tcW w:w="0" w:type="auto"/>
            <w:shd w:val="clear" w:color="auto" w:fill="auto"/>
            <w:vAlign w:val="center"/>
            <w:hideMark/>
          </w:tcPr>
          <w:p w14:paraId="4AC5FE95" w14:textId="77777777" w:rsidR="00965D74" w:rsidRPr="00965D74" w:rsidRDefault="00965D74" w:rsidP="00965D74">
            <w:pPr>
              <w:rPr>
                <w:b/>
                <w:bCs/>
                <w:lang w:val="en-US"/>
              </w:rPr>
            </w:pPr>
            <w:r w:rsidRPr="00965D74">
              <w:rPr>
                <w:b/>
                <w:bCs/>
                <w:lang w:val="en-US"/>
              </w:rPr>
              <w:t>AmIndian</w:t>
            </w:r>
          </w:p>
        </w:tc>
        <w:tc>
          <w:tcPr>
            <w:tcW w:w="0" w:type="auto"/>
            <w:shd w:val="clear" w:color="auto" w:fill="auto"/>
            <w:vAlign w:val="center"/>
            <w:hideMark/>
          </w:tcPr>
          <w:p w14:paraId="28C470A3" w14:textId="77777777" w:rsidR="00965D74" w:rsidRPr="00965D74" w:rsidRDefault="00965D74" w:rsidP="00965D74">
            <w:pPr>
              <w:rPr>
                <w:b/>
                <w:bCs/>
                <w:lang w:val="en-US"/>
              </w:rPr>
            </w:pPr>
            <w:r w:rsidRPr="00965D74">
              <w:rPr>
                <w:b/>
                <w:bCs/>
                <w:lang w:val="en-US"/>
              </w:rPr>
              <w:t>Asian</w:t>
            </w:r>
          </w:p>
        </w:tc>
        <w:tc>
          <w:tcPr>
            <w:tcW w:w="0" w:type="auto"/>
            <w:shd w:val="clear" w:color="auto" w:fill="auto"/>
            <w:vAlign w:val="center"/>
            <w:hideMark/>
          </w:tcPr>
          <w:p w14:paraId="1321D890" w14:textId="77777777" w:rsidR="00965D74" w:rsidRPr="00965D74" w:rsidRDefault="00965D74" w:rsidP="00965D74">
            <w:pPr>
              <w:rPr>
                <w:b/>
                <w:bCs/>
                <w:lang w:val="en-US"/>
              </w:rPr>
            </w:pPr>
            <w:r w:rsidRPr="00965D74">
              <w:rPr>
                <w:b/>
                <w:bCs/>
                <w:lang w:val="en-US"/>
              </w:rPr>
              <w:t>NHMulti</w:t>
            </w:r>
          </w:p>
        </w:tc>
        <w:tc>
          <w:tcPr>
            <w:tcW w:w="0" w:type="auto"/>
            <w:shd w:val="clear" w:color="auto" w:fill="auto"/>
            <w:vAlign w:val="center"/>
            <w:hideMark/>
          </w:tcPr>
          <w:p w14:paraId="147DBA65" w14:textId="77777777" w:rsidR="00965D74" w:rsidRPr="00965D74" w:rsidRDefault="00965D74" w:rsidP="00965D74">
            <w:pPr>
              <w:rPr>
                <w:b/>
                <w:bCs/>
                <w:lang w:val="en-US"/>
              </w:rPr>
            </w:pPr>
            <w:r w:rsidRPr="00965D74">
              <w:rPr>
                <w:b/>
                <w:bCs/>
                <w:lang w:val="en-US"/>
              </w:rPr>
              <w:t>NHOther</w:t>
            </w:r>
          </w:p>
        </w:tc>
        <w:tc>
          <w:tcPr>
            <w:tcW w:w="0" w:type="auto"/>
            <w:shd w:val="clear" w:color="auto" w:fill="auto"/>
            <w:vAlign w:val="center"/>
            <w:hideMark/>
          </w:tcPr>
          <w:p w14:paraId="3664835E" w14:textId="77777777" w:rsidR="00965D74" w:rsidRPr="00965D74" w:rsidRDefault="00965D74" w:rsidP="00965D74">
            <w:pPr>
              <w:rPr>
                <w:b/>
                <w:bCs/>
                <w:lang w:val="en-US"/>
              </w:rPr>
            </w:pPr>
            <w:r w:rsidRPr="00965D74">
              <w:rPr>
                <w:b/>
                <w:bCs/>
                <w:lang w:val="en-US"/>
              </w:rPr>
              <w:t>Hispanic</w:t>
            </w:r>
          </w:p>
        </w:tc>
        <w:tc>
          <w:tcPr>
            <w:tcW w:w="0" w:type="auto"/>
            <w:shd w:val="clear" w:color="auto" w:fill="auto"/>
            <w:vAlign w:val="center"/>
            <w:hideMark/>
          </w:tcPr>
          <w:p w14:paraId="49107C59" w14:textId="77777777" w:rsidR="00965D74" w:rsidRPr="00965D74" w:rsidRDefault="00965D74" w:rsidP="00965D74">
            <w:pPr>
              <w:rPr>
                <w:b/>
                <w:bCs/>
                <w:lang w:val="en-US"/>
              </w:rPr>
            </w:pPr>
            <w:r w:rsidRPr="00965D74">
              <w:rPr>
                <w:b/>
                <w:bCs/>
                <w:lang w:val="en-US"/>
              </w:rPr>
              <w:t>Total</w:t>
            </w:r>
          </w:p>
        </w:tc>
      </w:tr>
      <w:tr w:rsidR="00965D74" w:rsidRPr="00965D74" w14:paraId="628B7205" w14:textId="77777777" w:rsidTr="00965D74">
        <w:tc>
          <w:tcPr>
            <w:tcW w:w="0" w:type="auto"/>
            <w:shd w:val="clear" w:color="auto" w:fill="auto"/>
            <w:vAlign w:val="center"/>
            <w:hideMark/>
          </w:tcPr>
          <w:p w14:paraId="642B960B" w14:textId="77777777" w:rsidR="00965D74" w:rsidRPr="00965D74" w:rsidRDefault="00965D74" w:rsidP="00965D74">
            <w:pPr>
              <w:rPr>
                <w:b/>
                <w:bCs/>
                <w:lang w:val="en-US"/>
              </w:rPr>
            </w:pPr>
            <w:r w:rsidRPr="00965D74">
              <w:rPr>
                <w:b/>
                <w:bCs/>
                <w:lang w:val="en-US"/>
              </w:rPr>
              <w:t>&lt;25K</w:t>
            </w:r>
          </w:p>
        </w:tc>
        <w:tc>
          <w:tcPr>
            <w:tcW w:w="0" w:type="auto"/>
            <w:shd w:val="clear" w:color="auto" w:fill="auto"/>
            <w:tcMar>
              <w:top w:w="30" w:type="dxa"/>
              <w:left w:w="30" w:type="dxa"/>
              <w:bottom w:w="30" w:type="dxa"/>
              <w:right w:w="30" w:type="dxa"/>
            </w:tcMar>
            <w:vAlign w:val="center"/>
            <w:hideMark/>
          </w:tcPr>
          <w:p w14:paraId="772809BF" w14:textId="77777777" w:rsidR="00965D74" w:rsidRPr="00965D74" w:rsidRDefault="00965D74" w:rsidP="00965D74">
            <w:pPr>
              <w:rPr>
                <w:lang w:val="en-US"/>
              </w:rPr>
            </w:pPr>
            <w:r w:rsidRPr="00965D74">
              <w:rPr>
                <w:lang w:val="en-US"/>
              </w:rPr>
              <w:t>21.1%</w:t>
            </w:r>
          </w:p>
        </w:tc>
        <w:tc>
          <w:tcPr>
            <w:tcW w:w="0" w:type="auto"/>
            <w:shd w:val="clear" w:color="auto" w:fill="auto"/>
            <w:tcMar>
              <w:top w:w="30" w:type="dxa"/>
              <w:left w:w="30" w:type="dxa"/>
              <w:bottom w:w="30" w:type="dxa"/>
              <w:right w:w="30" w:type="dxa"/>
            </w:tcMar>
            <w:vAlign w:val="center"/>
            <w:hideMark/>
          </w:tcPr>
          <w:p w14:paraId="560AD7DA" w14:textId="77777777" w:rsidR="00965D74" w:rsidRPr="00965D74" w:rsidRDefault="00965D74" w:rsidP="00965D74">
            <w:pPr>
              <w:rPr>
                <w:lang w:val="en-US"/>
              </w:rPr>
            </w:pPr>
            <w:r w:rsidRPr="00965D74">
              <w:rPr>
                <w:lang w:val="en-US"/>
              </w:rPr>
              <w:t>34.8%</w:t>
            </w:r>
          </w:p>
        </w:tc>
        <w:tc>
          <w:tcPr>
            <w:tcW w:w="0" w:type="auto"/>
            <w:shd w:val="clear" w:color="auto" w:fill="auto"/>
            <w:tcMar>
              <w:top w:w="30" w:type="dxa"/>
              <w:left w:w="30" w:type="dxa"/>
              <w:bottom w:w="30" w:type="dxa"/>
              <w:right w:w="30" w:type="dxa"/>
            </w:tcMar>
            <w:vAlign w:val="center"/>
            <w:hideMark/>
          </w:tcPr>
          <w:p w14:paraId="79079C96" w14:textId="77777777" w:rsidR="00965D74" w:rsidRPr="00965D74" w:rsidRDefault="00965D74" w:rsidP="00965D74">
            <w:pPr>
              <w:rPr>
                <w:lang w:val="en-US"/>
              </w:rPr>
            </w:pPr>
            <w:r w:rsidRPr="00965D74">
              <w:rPr>
                <w:lang w:val="en-US"/>
              </w:rPr>
              <w:t>28.5%</w:t>
            </w:r>
          </w:p>
        </w:tc>
        <w:tc>
          <w:tcPr>
            <w:tcW w:w="0" w:type="auto"/>
            <w:shd w:val="clear" w:color="auto" w:fill="auto"/>
            <w:tcMar>
              <w:top w:w="30" w:type="dxa"/>
              <w:left w:w="30" w:type="dxa"/>
              <w:bottom w:w="30" w:type="dxa"/>
              <w:right w:w="30" w:type="dxa"/>
            </w:tcMar>
            <w:vAlign w:val="center"/>
            <w:hideMark/>
          </w:tcPr>
          <w:p w14:paraId="340F10E4" w14:textId="77777777" w:rsidR="00965D74" w:rsidRPr="00965D74" w:rsidRDefault="00965D74" w:rsidP="00965D74">
            <w:pPr>
              <w:rPr>
                <w:lang w:val="en-US"/>
              </w:rPr>
            </w:pPr>
            <w:r w:rsidRPr="00965D74">
              <w:rPr>
                <w:lang w:val="en-US"/>
              </w:rPr>
              <w:t>27.8%</w:t>
            </w:r>
          </w:p>
        </w:tc>
        <w:tc>
          <w:tcPr>
            <w:tcW w:w="0" w:type="auto"/>
            <w:shd w:val="clear" w:color="auto" w:fill="auto"/>
            <w:tcMar>
              <w:top w:w="30" w:type="dxa"/>
              <w:left w:w="30" w:type="dxa"/>
              <w:bottom w:w="30" w:type="dxa"/>
              <w:right w:w="30" w:type="dxa"/>
            </w:tcMar>
            <w:vAlign w:val="center"/>
            <w:hideMark/>
          </w:tcPr>
          <w:p w14:paraId="4107D1F8" w14:textId="77777777" w:rsidR="00965D74" w:rsidRPr="00965D74" w:rsidRDefault="00965D74" w:rsidP="00965D74">
            <w:pPr>
              <w:rPr>
                <w:lang w:val="en-US"/>
              </w:rPr>
            </w:pPr>
            <w:r w:rsidRPr="00965D74">
              <w:rPr>
                <w:lang w:val="en-US"/>
              </w:rPr>
              <w:t>28.8%</w:t>
            </w:r>
          </w:p>
        </w:tc>
        <w:tc>
          <w:tcPr>
            <w:tcW w:w="0" w:type="auto"/>
            <w:shd w:val="clear" w:color="auto" w:fill="auto"/>
            <w:tcMar>
              <w:top w:w="30" w:type="dxa"/>
              <w:left w:w="30" w:type="dxa"/>
              <w:bottom w:w="30" w:type="dxa"/>
              <w:right w:w="30" w:type="dxa"/>
            </w:tcMar>
            <w:vAlign w:val="center"/>
            <w:hideMark/>
          </w:tcPr>
          <w:p w14:paraId="640EFA72" w14:textId="77777777" w:rsidR="00965D74" w:rsidRPr="00965D74" w:rsidRDefault="00965D74" w:rsidP="00965D74">
            <w:pPr>
              <w:rPr>
                <w:lang w:val="en-US"/>
              </w:rPr>
            </w:pPr>
            <w:r w:rsidRPr="00965D74">
              <w:rPr>
                <w:lang w:val="en-US"/>
              </w:rPr>
              <w:t>31.5%</w:t>
            </w:r>
          </w:p>
        </w:tc>
        <w:tc>
          <w:tcPr>
            <w:tcW w:w="0" w:type="auto"/>
            <w:shd w:val="clear" w:color="auto" w:fill="auto"/>
            <w:tcMar>
              <w:top w:w="30" w:type="dxa"/>
              <w:left w:w="30" w:type="dxa"/>
              <w:bottom w:w="30" w:type="dxa"/>
              <w:right w:w="30" w:type="dxa"/>
            </w:tcMar>
            <w:vAlign w:val="center"/>
            <w:hideMark/>
          </w:tcPr>
          <w:p w14:paraId="2DAAE213" w14:textId="77777777" w:rsidR="00965D74" w:rsidRPr="00965D74" w:rsidRDefault="00965D74" w:rsidP="00965D74">
            <w:pPr>
              <w:rPr>
                <w:lang w:val="en-US"/>
              </w:rPr>
            </w:pPr>
            <w:r w:rsidRPr="00965D74">
              <w:rPr>
                <w:lang w:val="en-US"/>
              </w:rPr>
              <w:t>38.4%</w:t>
            </w:r>
          </w:p>
        </w:tc>
        <w:tc>
          <w:tcPr>
            <w:tcW w:w="0" w:type="auto"/>
            <w:shd w:val="clear" w:color="auto" w:fill="auto"/>
            <w:tcMar>
              <w:top w:w="30" w:type="dxa"/>
              <w:left w:w="30" w:type="dxa"/>
              <w:bottom w:w="30" w:type="dxa"/>
              <w:right w:w="30" w:type="dxa"/>
            </w:tcMar>
            <w:vAlign w:val="center"/>
            <w:hideMark/>
          </w:tcPr>
          <w:p w14:paraId="0FAFB3A5" w14:textId="77777777" w:rsidR="00965D74" w:rsidRPr="00965D74" w:rsidRDefault="00965D74" w:rsidP="00965D74">
            <w:pPr>
              <w:rPr>
                <w:lang w:val="en-US"/>
              </w:rPr>
            </w:pPr>
            <w:r w:rsidRPr="00965D74">
              <w:rPr>
                <w:lang w:val="en-US"/>
              </w:rPr>
              <w:t>27.8%</w:t>
            </w:r>
          </w:p>
        </w:tc>
      </w:tr>
      <w:tr w:rsidR="00965D74" w:rsidRPr="00965D74" w14:paraId="5D775B79" w14:textId="77777777" w:rsidTr="00965D74">
        <w:tc>
          <w:tcPr>
            <w:tcW w:w="0" w:type="auto"/>
            <w:shd w:val="clear" w:color="auto" w:fill="auto"/>
            <w:vAlign w:val="center"/>
            <w:hideMark/>
          </w:tcPr>
          <w:p w14:paraId="1AA202AF" w14:textId="77777777" w:rsidR="00965D74" w:rsidRPr="00965D74" w:rsidRDefault="00965D74" w:rsidP="00965D74">
            <w:pPr>
              <w:rPr>
                <w:b/>
                <w:bCs/>
                <w:lang w:val="en-US"/>
              </w:rPr>
            </w:pPr>
            <w:r w:rsidRPr="00965D74">
              <w:rPr>
                <w:b/>
                <w:bCs/>
                <w:lang w:val="en-US"/>
              </w:rPr>
              <w:t>25-34K</w:t>
            </w:r>
          </w:p>
        </w:tc>
        <w:tc>
          <w:tcPr>
            <w:tcW w:w="0" w:type="auto"/>
            <w:shd w:val="clear" w:color="auto" w:fill="auto"/>
            <w:tcMar>
              <w:top w:w="30" w:type="dxa"/>
              <w:left w:w="30" w:type="dxa"/>
              <w:bottom w:w="30" w:type="dxa"/>
              <w:right w:w="30" w:type="dxa"/>
            </w:tcMar>
            <w:vAlign w:val="center"/>
            <w:hideMark/>
          </w:tcPr>
          <w:p w14:paraId="544DB762" w14:textId="77777777" w:rsidR="00965D74" w:rsidRPr="00965D74" w:rsidRDefault="00965D74" w:rsidP="00965D74">
            <w:pPr>
              <w:rPr>
                <w:lang w:val="en-US"/>
              </w:rPr>
            </w:pPr>
            <w:r w:rsidRPr="00965D74">
              <w:rPr>
                <w:lang w:val="en-US"/>
              </w:rPr>
              <w:t>16.6%</w:t>
            </w:r>
          </w:p>
        </w:tc>
        <w:tc>
          <w:tcPr>
            <w:tcW w:w="0" w:type="auto"/>
            <w:shd w:val="clear" w:color="auto" w:fill="auto"/>
            <w:tcMar>
              <w:top w:w="30" w:type="dxa"/>
              <w:left w:w="30" w:type="dxa"/>
              <w:bottom w:w="30" w:type="dxa"/>
              <w:right w:w="30" w:type="dxa"/>
            </w:tcMar>
            <w:vAlign w:val="center"/>
            <w:hideMark/>
          </w:tcPr>
          <w:p w14:paraId="44811334" w14:textId="77777777" w:rsidR="00965D74" w:rsidRPr="00965D74" w:rsidRDefault="00965D74" w:rsidP="00965D74">
            <w:pPr>
              <w:rPr>
                <w:lang w:val="en-US"/>
              </w:rPr>
            </w:pPr>
            <w:r w:rsidRPr="00965D74">
              <w:rPr>
                <w:lang w:val="en-US"/>
              </w:rPr>
              <w:t>23.8%</w:t>
            </w:r>
          </w:p>
        </w:tc>
        <w:tc>
          <w:tcPr>
            <w:tcW w:w="0" w:type="auto"/>
            <w:shd w:val="clear" w:color="auto" w:fill="auto"/>
            <w:tcMar>
              <w:top w:w="30" w:type="dxa"/>
              <w:left w:w="30" w:type="dxa"/>
              <w:bottom w:w="30" w:type="dxa"/>
              <w:right w:w="30" w:type="dxa"/>
            </w:tcMar>
            <w:vAlign w:val="center"/>
            <w:hideMark/>
          </w:tcPr>
          <w:p w14:paraId="26CA7B3F" w14:textId="77777777" w:rsidR="00965D74" w:rsidRPr="00965D74" w:rsidRDefault="00965D74" w:rsidP="00965D74">
            <w:pPr>
              <w:rPr>
                <w:lang w:val="en-US"/>
              </w:rPr>
            </w:pPr>
            <w:r w:rsidRPr="00965D74">
              <w:rPr>
                <w:lang w:val="en-US"/>
              </w:rPr>
              <w:t>20.5%</w:t>
            </w:r>
          </w:p>
        </w:tc>
        <w:tc>
          <w:tcPr>
            <w:tcW w:w="0" w:type="auto"/>
            <w:shd w:val="clear" w:color="auto" w:fill="auto"/>
            <w:tcMar>
              <w:top w:w="30" w:type="dxa"/>
              <w:left w:w="30" w:type="dxa"/>
              <w:bottom w:w="30" w:type="dxa"/>
              <w:right w:w="30" w:type="dxa"/>
            </w:tcMar>
            <w:vAlign w:val="center"/>
            <w:hideMark/>
          </w:tcPr>
          <w:p w14:paraId="40E6F30F" w14:textId="77777777" w:rsidR="00965D74" w:rsidRPr="00965D74" w:rsidRDefault="00965D74" w:rsidP="00965D74">
            <w:pPr>
              <w:rPr>
                <w:lang w:val="en-US"/>
              </w:rPr>
            </w:pPr>
            <w:r w:rsidRPr="00965D74">
              <w:rPr>
                <w:lang w:val="en-US"/>
              </w:rPr>
              <w:t>14.6%</w:t>
            </w:r>
          </w:p>
        </w:tc>
        <w:tc>
          <w:tcPr>
            <w:tcW w:w="0" w:type="auto"/>
            <w:shd w:val="clear" w:color="auto" w:fill="auto"/>
            <w:tcMar>
              <w:top w:w="30" w:type="dxa"/>
              <w:left w:w="30" w:type="dxa"/>
              <w:bottom w:w="30" w:type="dxa"/>
              <w:right w:w="30" w:type="dxa"/>
            </w:tcMar>
            <w:vAlign w:val="center"/>
            <w:hideMark/>
          </w:tcPr>
          <w:p w14:paraId="770751C0" w14:textId="77777777" w:rsidR="00965D74" w:rsidRPr="00965D74" w:rsidRDefault="00965D74" w:rsidP="00965D74">
            <w:pPr>
              <w:rPr>
                <w:lang w:val="en-US"/>
              </w:rPr>
            </w:pPr>
            <w:r w:rsidRPr="00965D74">
              <w:rPr>
                <w:lang w:val="en-US"/>
              </w:rPr>
              <w:t>19%</w:t>
            </w:r>
          </w:p>
        </w:tc>
        <w:tc>
          <w:tcPr>
            <w:tcW w:w="0" w:type="auto"/>
            <w:shd w:val="clear" w:color="auto" w:fill="auto"/>
            <w:tcMar>
              <w:top w:w="30" w:type="dxa"/>
              <w:left w:w="30" w:type="dxa"/>
              <w:bottom w:w="30" w:type="dxa"/>
              <w:right w:w="30" w:type="dxa"/>
            </w:tcMar>
            <w:vAlign w:val="center"/>
            <w:hideMark/>
          </w:tcPr>
          <w:p w14:paraId="6ED821A4" w14:textId="77777777" w:rsidR="00965D74" w:rsidRPr="00965D74" w:rsidRDefault="00965D74" w:rsidP="00965D74">
            <w:pPr>
              <w:rPr>
                <w:lang w:val="en-US"/>
              </w:rPr>
            </w:pPr>
            <w:r w:rsidRPr="00965D74">
              <w:rPr>
                <w:lang w:val="en-US"/>
              </w:rPr>
              <w:t>17.5%</w:t>
            </w:r>
          </w:p>
        </w:tc>
        <w:tc>
          <w:tcPr>
            <w:tcW w:w="0" w:type="auto"/>
            <w:shd w:val="clear" w:color="auto" w:fill="auto"/>
            <w:tcMar>
              <w:top w:w="30" w:type="dxa"/>
              <w:left w:w="30" w:type="dxa"/>
              <w:bottom w:w="30" w:type="dxa"/>
              <w:right w:w="30" w:type="dxa"/>
            </w:tcMar>
            <w:vAlign w:val="center"/>
            <w:hideMark/>
          </w:tcPr>
          <w:p w14:paraId="748F8A2F" w14:textId="77777777" w:rsidR="00965D74" w:rsidRPr="00965D74" w:rsidRDefault="00965D74" w:rsidP="00965D74">
            <w:pPr>
              <w:rPr>
                <w:lang w:val="en-US"/>
              </w:rPr>
            </w:pPr>
            <w:r w:rsidRPr="00965D74">
              <w:rPr>
                <w:lang w:val="en-US"/>
              </w:rPr>
              <w:t>20.1%</w:t>
            </w:r>
          </w:p>
        </w:tc>
        <w:tc>
          <w:tcPr>
            <w:tcW w:w="0" w:type="auto"/>
            <w:shd w:val="clear" w:color="auto" w:fill="auto"/>
            <w:tcMar>
              <w:top w:w="30" w:type="dxa"/>
              <w:left w:w="30" w:type="dxa"/>
              <w:bottom w:w="30" w:type="dxa"/>
              <w:right w:w="30" w:type="dxa"/>
            </w:tcMar>
            <w:vAlign w:val="center"/>
            <w:hideMark/>
          </w:tcPr>
          <w:p w14:paraId="41B525C9" w14:textId="77777777" w:rsidR="00965D74" w:rsidRPr="00965D74" w:rsidRDefault="00965D74" w:rsidP="00965D74">
            <w:pPr>
              <w:rPr>
                <w:lang w:val="en-US"/>
              </w:rPr>
            </w:pPr>
            <w:r w:rsidRPr="00965D74">
              <w:rPr>
                <w:lang w:val="en-US"/>
              </w:rPr>
              <w:t>18.5%</w:t>
            </w:r>
          </w:p>
        </w:tc>
      </w:tr>
      <w:tr w:rsidR="00965D74" w:rsidRPr="00965D74" w14:paraId="4436C8E4" w14:textId="77777777" w:rsidTr="00965D74">
        <w:tc>
          <w:tcPr>
            <w:tcW w:w="0" w:type="auto"/>
            <w:shd w:val="clear" w:color="auto" w:fill="auto"/>
            <w:vAlign w:val="center"/>
            <w:hideMark/>
          </w:tcPr>
          <w:p w14:paraId="46FD076D" w14:textId="77777777" w:rsidR="00965D74" w:rsidRPr="00965D74" w:rsidRDefault="00965D74" w:rsidP="00965D74">
            <w:pPr>
              <w:rPr>
                <w:b/>
                <w:bCs/>
                <w:lang w:val="en-US"/>
              </w:rPr>
            </w:pPr>
            <w:r w:rsidRPr="00965D74">
              <w:rPr>
                <w:b/>
                <w:bCs/>
                <w:lang w:val="en-US"/>
              </w:rPr>
              <w:t>35-49K</w:t>
            </w:r>
          </w:p>
        </w:tc>
        <w:tc>
          <w:tcPr>
            <w:tcW w:w="0" w:type="auto"/>
            <w:shd w:val="clear" w:color="auto" w:fill="auto"/>
            <w:tcMar>
              <w:top w:w="30" w:type="dxa"/>
              <w:left w:w="30" w:type="dxa"/>
              <w:bottom w:w="30" w:type="dxa"/>
              <w:right w:w="30" w:type="dxa"/>
            </w:tcMar>
            <w:vAlign w:val="center"/>
            <w:hideMark/>
          </w:tcPr>
          <w:p w14:paraId="7412AB99" w14:textId="77777777" w:rsidR="00965D74" w:rsidRPr="00965D74" w:rsidRDefault="00965D74" w:rsidP="00965D74">
            <w:pPr>
              <w:rPr>
                <w:lang w:val="en-US"/>
              </w:rPr>
            </w:pPr>
            <w:r w:rsidRPr="00965D74">
              <w:rPr>
                <w:lang w:val="en-US"/>
              </w:rPr>
              <w:t>21.3%</w:t>
            </w:r>
          </w:p>
        </w:tc>
        <w:tc>
          <w:tcPr>
            <w:tcW w:w="0" w:type="auto"/>
            <w:shd w:val="clear" w:color="auto" w:fill="auto"/>
            <w:tcMar>
              <w:top w:w="30" w:type="dxa"/>
              <w:left w:w="30" w:type="dxa"/>
              <w:bottom w:w="30" w:type="dxa"/>
              <w:right w:w="30" w:type="dxa"/>
            </w:tcMar>
            <w:vAlign w:val="center"/>
            <w:hideMark/>
          </w:tcPr>
          <w:p w14:paraId="0B4E05F8" w14:textId="77777777" w:rsidR="00965D74" w:rsidRPr="00965D74" w:rsidRDefault="00965D74" w:rsidP="00965D74">
            <w:pPr>
              <w:rPr>
                <w:lang w:val="en-US"/>
              </w:rPr>
            </w:pPr>
            <w:r w:rsidRPr="00965D74">
              <w:rPr>
                <w:lang w:val="en-US"/>
              </w:rPr>
              <w:t>20.4%</w:t>
            </w:r>
          </w:p>
        </w:tc>
        <w:tc>
          <w:tcPr>
            <w:tcW w:w="0" w:type="auto"/>
            <w:shd w:val="clear" w:color="auto" w:fill="auto"/>
            <w:tcMar>
              <w:top w:w="30" w:type="dxa"/>
              <w:left w:w="30" w:type="dxa"/>
              <w:bottom w:w="30" w:type="dxa"/>
              <w:right w:w="30" w:type="dxa"/>
            </w:tcMar>
            <w:vAlign w:val="center"/>
            <w:hideMark/>
          </w:tcPr>
          <w:p w14:paraId="4B47B876" w14:textId="77777777" w:rsidR="00965D74" w:rsidRPr="00965D74" w:rsidRDefault="00965D74" w:rsidP="00965D74">
            <w:pPr>
              <w:rPr>
                <w:lang w:val="en-US"/>
              </w:rPr>
            </w:pPr>
            <w:r w:rsidRPr="00965D74">
              <w:rPr>
                <w:lang w:val="en-US"/>
              </w:rPr>
              <w:t>20.6%</w:t>
            </w:r>
          </w:p>
        </w:tc>
        <w:tc>
          <w:tcPr>
            <w:tcW w:w="0" w:type="auto"/>
            <w:shd w:val="clear" w:color="auto" w:fill="auto"/>
            <w:tcMar>
              <w:top w:w="30" w:type="dxa"/>
              <w:left w:w="30" w:type="dxa"/>
              <w:bottom w:w="30" w:type="dxa"/>
              <w:right w:w="30" w:type="dxa"/>
            </w:tcMar>
            <w:vAlign w:val="center"/>
            <w:hideMark/>
          </w:tcPr>
          <w:p w14:paraId="197C57A4" w14:textId="77777777" w:rsidR="00965D74" w:rsidRPr="00965D74" w:rsidRDefault="00965D74" w:rsidP="00965D74">
            <w:pPr>
              <w:rPr>
                <w:lang w:val="en-US"/>
              </w:rPr>
            </w:pPr>
            <w:r w:rsidRPr="00965D74">
              <w:rPr>
                <w:lang w:val="en-US"/>
              </w:rPr>
              <w:t>15.8%</w:t>
            </w:r>
          </w:p>
        </w:tc>
        <w:tc>
          <w:tcPr>
            <w:tcW w:w="0" w:type="auto"/>
            <w:shd w:val="clear" w:color="auto" w:fill="auto"/>
            <w:tcMar>
              <w:top w:w="30" w:type="dxa"/>
              <w:left w:w="30" w:type="dxa"/>
              <w:bottom w:w="30" w:type="dxa"/>
              <w:right w:w="30" w:type="dxa"/>
            </w:tcMar>
            <w:vAlign w:val="center"/>
            <w:hideMark/>
          </w:tcPr>
          <w:p w14:paraId="523B0113" w14:textId="77777777" w:rsidR="00965D74" w:rsidRPr="00965D74" w:rsidRDefault="00965D74" w:rsidP="00965D74">
            <w:pPr>
              <w:rPr>
                <w:lang w:val="en-US"/>
              </w:rPr>
            </w:pPr>
            <w:r w:rsidRPr="00965D74">
              <w:rPr>
                <w:lang w:val="en-US"/>
              </w:rPr>
              <w:t>20.8%</w:t>
            </w:r>
          </w:p>
        </w:tc>
        <w:tc>
          <w:tcPr>
            <w:tcW w:w="0" w:type="auto"/>
            <w:shd w:val="clear" w:color="auto" w:fill="auto"/>
            <w:tcMar>
              <w:top w:w="30" w:type="dxa"/>
              <w:left w:w="30" w:type="dxa"/>
              <w:bottom w:w="30" w:type="dxa"/>
              <w:right w:w="30" w:type="dxa"/>
            </w:tcMar>
            <w:vAlign w:val="center"/>
            <w:hideMark/>
          </w:tcPr>
          <w:p w14:paraId="3CA50F38" w14:textId="77777777" w:rsidR="00965D74" w:rsidRPr="00965D74" w:rsidRDefault="00965D74" w:rsidP="00965D74">
            <w:pPr>
              <w:rPr>
                <w:lang w:val="en-US"/>
              </w:rPr>
            </w:pPr>
            <w:r w:rsidRPr="00965D74">
              <w:rPr>
                <w:lang w:val="en-US"/>
              </w:rPr>
              <w:t>20.4%</w:t>
            </w:r>
          </w:p>
        </w:tc>
        <w:tc>
          <w:tcPr>
            <w:tcW w:w="0" w:type="auto"/>
            <w:shd w:val="clear" w:color="auto" w:fill="auto"/>
            <w:tcMar>
              <w:top w:w="30" w:type="dxa"/>
              <w:left w:w="30" w:type="dxa"/>
              <w:bottom w:w="30" w:type="dxa"/>
              <w:right w:w="30" w:type="dxa"/>
            </w:tcMar>
            <w:vAlign w:val="center"/>
            <w:hideMark/>
          </w:tcPr>
          <w:p w14:paraId="23459E9A" w14:textId="77777777" w:rsidR="00965D74" w:rsidRPr="00965D74" w:rsidRDefault="00965D74" w:rsidP="00965D74">
            <w:pPr>
              <w:rPr>
                <w:lang w:val="en-US"/>
              </w:rPr>
            </w:pPr>
            <w:r w:rsidRPr="00965D74">
              <w:rPr>
                <w:lang w:val="en-US"/>
              </w:rPr>
              <w:t>18.4%</w:t>
            </w:r>
          </w:p>
        </w:tc>
        <w:tc>
          <w:tcPr>
            <w:tcW w:w="0" w:type="auto"/>
            <w:shd w:val="clear" w:color="auto" w:fill="auto"/>
            <w:tcMar>
              <w:top w:w="30" w:type="dxa"/>
              <w:left w:w="30" w:type="dxa"/>
              <w:bottom w:w="30" w:type="dxa"/>
              <w:right w:w="30" w:type="dxa"/>
            </w:tcMar>
            <w:vAlign w:val="center"/>
            <w:hideMark/>
          </w:tcPr>
          <w:p w14:paraId="40E249D2" w14:textId="77777777" w:rsidR="00965D74" w:rsidRPr="00965D74" w:rsidRDefault="00965D74" w:rsidP="00965D74">
            <w:pPr>
              <w:rPr>
                <w:lang w:val="en-US"/>
              </w:rPr>
            </w:pPr>
            <w:r w:rsidRPr="00965D74">
              <w:rPr>
                <w:lang w:val="en-US"/>
              </w:rPr>
              <w:t>20.3%</w:t>
            </w:r>
          </w:p>
        </w:tc>
      </w:tr>
      <w:tr w:rsidR="00965D74" w:rsidRPr="00965D74" w14:paraId="5CBF1C3B" w14:textId="77777777" w:rsidTr="00965D74">
        <w:tc>
          <w:tcPr>
            <w:tcW w:w="0" w:type="auto"/>
            <w:shd w:val="clear" w:color="auto" w:fill="auto"/>
            <w:vAlign w:val="center"/>
            <w:hideMark/>
          </w:tcPr>
          <w:p w14:paraId="04C5B73C" w14:textId="77777777" w:rsidR="00965D74" w:rsidRPr="00965D74" w:rsidRDefault="00965D74" w:rsidP="00965D74">
            <w:pPr>
              <w:rPr>
                <w:b/>
                <w:bCs/>
                <w:lang w:val="en-US"/>
              </w:rPr>
            </w:pPr>
            <w:r w:rsidRPr="00965D74">
              <w:rPr>
                <w:b/>
                <w:bCs/>
                <w:lang w:val="en-US"/>
              </w:rPr>
              <w:t>50-69K</w:t>
            </w:r>
          </w:p>
        </w:tc>
        <w:tc>
          <w:tcPr>
            <w:tcW w:w="0" w:type="auto"/>
            <w:shd w:val="clear" w:color="auto" w:fill="auto"/>
            <w:tcMar>
              <w:top w:w="30" w:type="dxa"/>
              <w:left w:w="30" w:type="dxa"/>
              <w:bottom w:w="30" w:type="dxa"/>
              <w:right w:w="30" w:type="dxa"/>
            </w:tcMar>
            <w:vAlign w:val="center"/>
            <w:hideMark/>
          </w:tcPr>
          <w:p w14:paraId="30133B8F" w14:textId="77777777" w:rsidR="00965D74" w:rsidRPr="00965D74" w:rsidRDefault="00965D74" w:rsidP="00965D74">
            <w:pPr>
              <w:rPr>
                <w:lang w:val="en-US"/>
              </w:rPr>
            </w:pPr>
            <w:r w:rsidRPr="00965D74">
              <w:rPr>
                <w:lang w:val="en-US"/>
              </w:rPr>
              <w:t>17.4%</w:t>
            </w:r>
          </w:p>
        </w:tc>
        <w:tc>
          <w:tcPr>
            <w:tcW w:w="0" w:type="auto"/>
            <w:shd w:val="clear" w:color="auto" w:fill="auto"/>
            <w:tcMar>
              <w:top w:w="30" w:type="dxa"/>
              <w:left w:w="30" w:type="dxa"/>
              <w:bottom w:w="30" w:type="dxa"/>
              <w:right w:w="30" w:type="dxa"/>
            </w:tcMar>
            <w:vAlign w:val="center"/>
            <w:hideMark/>
          </w:tcPr>
          <w:p w14:paraId="6CE0B0B7" w14:textId="77777777" w:rsidR="00965D74" w:rsidRPr="00965D74" w:rsidRDefault="00965D74" w:rsidP="00965D74">
            <w:pPr>
              <w:rPr>
                <w:lang w:val="en-US"/>
              </w:rPr>
            </w:pPr>
            <w:r w:rsidRPr="00965D74">
              <w:rPr>
                <w:lang w:val="en-US"/>
              </w:rPr>
              <w:t>12.2%</w:t>
            </w:r>
          </w:p>
        </w:tc>
        <w:tc>
          <w:tcPr>
            <w:tcW w:w="0" w:type="auto"/>
            <w:shd w:val="clear" w:color="auto" w:fill="auto"/>
            <w:tcMar>
              <w:top w:w="30" w:type="dxa"/>
              <w:left w:w="30" w:type="dxa"/>
              <w:bottom w:w="30" w:type="dxa"/>
              <w:right w:w="30" w:type="dxa"/>
            </w:tcMar>
            <w:vAlign w:val="center"/>
            <w:hideMark/>
          </w:tcPr>
          <w:p w14:paraId="02E85F89" w14:textId="77777777" w:rsidR="00965D74" w:rsidRPr="00965D74" w:rsidRDefault="00965D74" w:rsidP="00965D74">
            <w:pPr>
              <w:rPr>
                <w:lang w:val="en-US"/>
              </w:rPr>
            </w:pPr>
            <w:r w:rsidRPr="00965D74">
              <w:rPr>
                <w:lang w:val="en-US"/>
              </w:rPr>
              <w:t>15.8%</w:t>
            </w:r>
          </w:p>
        </w:tc>
        <w:tc>
          <w:tcPr>
            <w:tcW w:w="0" w:type="auto"/>
            <w:shd w:val="clear" w:color="auto" w:fill="auto"/>
            <w:tcMar>
              <w:top w:w="30" w:type="dxa"/>
              <w:left w:w="30" w:type="dxa"/>
              <w:bottom w:w="30" w:type="dxa"/>
              <w:right w:w="30" w:type="dxa"/>
            </w:tcMar>
            <w:vAlign w:val="center"/>
            <w:hideMark/>
          </w:tcPr>
          <w:p w14:paraId="27A5B269" w14:textId="77777777" w:rsidR="00965D74" w:rsidRPr="00965D74" w:rsidRDefault="00965D74" w:rsidP="00965D74">
            <w:pPr>
              <w:rPr>
                <w:lang w:val="en-US"/>
              </w:rPr>
            </w:pPr>
            <w:r w:rsidRPr="00965D74">
              <w:rPr>
                <w:lang w:val="en-US"/>
              </w:rPr>
              <w:t>14.8%</w:t>
            </w:r>
          </w:p>
        </w:tc>
        <w:tc>
          <w:tcPr>
            <w:tcW w:w="0" w:type="auto"/>
            <w:shd w:val="clear" w:color="auto" w:fill="auto"/>
            <w:tcMar>
              <w:top w:w="30" w:type="dxa"/>
              <w:left w:w="30" w:type="dxa"/>
              <w:bottom w:w="30" w:type="dxa"/>
              <w:right w:w="30" w:type="dxa"/>
            </w:tcMar>
            <w:vAlign w:val="center"/>
            <w:hideMark/>
          </w:tcPr>
          <w:p w14:paraId="1ABA1CFF" w14:textId="77777777" w:rsidR="00965D74" w:rsidRPr="00965D74" w:rsidRDefault="00965D74" w:rsidP="00965D74">
            <w:pPr>
              <w:rPr>
                <w:lang w:val="en-US"/>
              </w:rPr>
            </w:pPr>
            <w:r w:rsidRPr="00965D74">
              <w:rPr>
                <w:lang w:val="en-US"/>
              </w:rPr>
              <w:t>15%</w:t>
            </w:r>
          </w:p>
        </w:tc>
        <w:tc>
          <w:tcPr>
            <w:tcW w:w="0" w:type="auto"/>
            <w:shd w:val="clear" w:color="auto" w:fill="auto"/>
            <w:tcMar>
              <w:top w:w="30" w:type="dxa"/>
              <w:left w:w="30" w:type="dxa"/>
              <w:bottom w:w="30" w:type="dxa"/>
              <w:right w:w="30" w:type="dxa"/>
            </w:tcMar>
            <w:vAlign w:val="center"/>
            <w:hideMark/>
          </w:tcPr>
          <w:p w14:paraId="70F72B9D" w14:textId="77777777" w:rsidR="00965D74" w:rsidRPr="00965D74" w:rsidRDefault="00965D74" w:rsidP="00965D74">
            <w:pPr>
              <w:rPr>
                <w:lang w:val="en-US"/>
              </w:rPr>
            </w:pPr>
            <w:r w:rsidRPr="00965D74">
              <w:rPr>
                <w:lang w:val="en-US"/>
              </w:rPr>
              <w:t>14.5%</w:t>
            </w:r>
          </w:p>
        </w:tc>
        <w:tc>
          <w:tcPr>
            <w:tcW w:w="0" w:type="auto"/>
            <w:shd w:val="clear" w:color="auto" w:fill="auto"/>
            <w:tcMar>
              <w:top w:w="30" w:type="dxa"/>
              <w:left w:w="30" w:type="dxa"/>
              <w:bottom w:w="30" w:type="dxa"/>
              <w:right w:w="30" w:type="dxa"/>
            </w:tcMar>
            <w:vAlign w:val="center"/>
            <w:hideMark/>
          </w:tcPr>
          <w:p w14:paraId="55512317" w14:textId="77777777" w:rsidR="00965D74" w:rsidRPr="00965D74" w:rsidRDefault="00965D74" w:rsidP="00965D74">
            <w:pPr>
              <w:rPr>
                <w:lang w:val="en-US"/>
              </w:rPr>
            </w:pPr>
            <w:r w:rsidRPr="00965D74">
              <w:rPr>
                <w:lang w:val="en-US"/>
              </w:rPr>
              <w:t>11.4%</w:t>
            </w:r>
          </w:p>
        </w:tc>
        <w:tc>
          <w:tcPr>
            <w:tcW w:w="0" w:type="auto"/>
            <w:shd w:val="clear" w:color="auto" w:fill="auto"/>
            <w:tcMar>
              <w:top w:w="30" w:type="dxa"/>
              <w:left w:w="30" w:type="dxa"/>
              <w:bottom w:w="30" w:type="dxa"/>
              <w:right w:w="30" w:type="dxa"/>
            </w:tcMar>
            <w:vAlign w:val="center"/>
            <w:hideMark/>
          </w:tcPr>
          <w:p w14:paraId="24BC0957" w14:textId="77777777" w:rsidR="00965D74" w:rsidRPr="00965D74" w:rsidRDefault="00965D74" w:rsidP="00965D74">
            <w:pPr>
              <w:rPr>
                <w:lang w:val="en-US"/>
              </w:rPr>
            </w:pPr>
            <w:r w:rsidRPr="00965D74">
              <w:rPr>
                <w:lang w:val="en-US"/>
              </w:rPr>
              <w:t>15%</w:t>
            </w:r>
          </w:p>
        </w:tc>
      </w:tr>
      <w:tr w:rsidR="00965D74" w:rsidRPr="00965D74" w14:paraId="4EFD2511" w14:textId="77777777" w:rsidTr="00965D74">
        <w:tc>
          <w:tcPr>
            <w:tcW w:w="0" w:type="auto"/>
            <w:shd w:val="clear" w:color="auto" w:fill="auto"/>
            <w:vAlign w:val="center"/>
            <w:hideMark/>
          </w:tcPr>
          <w:p w14:paraId="2AAAE42B" w14:textId="77777777" w:rsidR="00965D74" w:rsidRPr="00965D74" w:rsidRDefault="00965D74" w:rsidP="00965D74">
            <w:pPr>
              <w:rPr>
                <w:b/>
                <w:bCs/>
                <w:lang w:val="en-US"/>
              </w:rPr>
            </w:pPr>
            <w:r w:rsidRPr="00965D74">
              <w:rPr>
                <w:b/>
                <w:bCs/>
                <w:lang w:val="en-US"/>
              </w:rPr>
              <w:t>70-99K</w:t>
            </w:r>
          </w:p>
        </w:tc>
        <w:tc>
          <w:tcPr>
            <w:tcW w:w="0" w:type="auto"/>
            <w:shd w:val="clear" w:color="auto" w:fill="auto"/>
            <w:tcMar>
              <w:top w:w="30" w:type="dxa"/>
              <w:left w:w="30" w:type="dxa"/>
              <w:bottom w:w="30" w:type="dxa"/>
              <w:right w:w="30" w:type="dxa"/>
            </w:tcMar>
            <w:vAlign w:val="center"/>
            <w:hideMark/>
          </w:tcPr>
          <w:p w14:paraId="79000C33" w14:textId="77777777" w:rsidR="00965D74" w:rsidRPr="00965D74" w:rsidRDefault="00965D74" w:rsidP="00965D74">
            <w:pPr>
              <w:rPr>
                <w:lang w:val="en-US"/>
              </w:rPr>
            </w:pPr>
            <w:r w:rsidRPr="00965D74">
              <w:rPr>
                <w:lang w:val="en-US"/>
              </w:rPr>
              <w:t>11.7%</w:t>
            </w:r>
          </w:p>
        </w:tc>
        <w:tc>
          <w:tcPr>
            <w:tcW w:w="0" w:type="auto"/>
            <w:shd w:val="clear" w:color="auto" w:fill="auto"/>
            <w:tcMar>
              <w:top w:w="30" w:type="dxa"/>
              <w:left w:w="30" w:type="dxa"/>
              <w:bottom w:w="30" w:type="dxa"/>
              <w:right w:w="30" w:type="dxa"/>
            </w:tcMar>
            <w:vAlign w:val="center"/>
            <w:hideMark/>
          </w:tcPr>
          <w:p w14:paraId="11E104C7" w14:textId="77777777" w:rsidR="00965D74" w:rsidRPr="00965D74" w:rsidRDefault="00965D74" w:rsidP="00965D74">
            <w:pPr>
              <w:rPr>
                <w:lang w:val="en-US"/>
              </w:rPr>
            </w:pPr>
            <w:r w:rsidRPr="00965D74">
              <w:rPr>
                <w:lang w:val="en-US"/>
              </w:rPr>
              <w:t>5.8%</w:t>
            </w:r>
          </w:p>
        </w:tc>
        <w:tc>
          <w:tcPr>
            <w:tcW w:w="0" w:type="auto"/>
            <w:shd w:val="clear" w:color="auto" w:fill="auto"/>
            <w:tcMar>
              <w:top w:w="30" w:type="dxa"/>
              <w:left w:w="30" w:type="dxa"/>
              <w:bottom w:w="30" w:type="dxa"/>
              <w:right w:w="30" w:type="dxa"/>
            </w:tcMar>
            <w:vAlign w:val="center"/>
            <w:hideMark/>
          </w:tcPr>
          <w:p w14:paraId="008110B3" w14:textId="77777777" w:rsidR="00965D74" w:rsidRPr="00965D74" w:rsidRDefault="00965D74" w:rsidP="00965D74">
            <w:pPr>
              <w:rPr>
                <w:lang w:val="en-US"/>
              </w:rPr>
            </w:pPr>
            <w:r w:rsidRPr="00965D74">
              <w:rPr>
                <w:lang w:val="en-US"/>
              </w:rPr>
              <w:t>10.4%</w:t>
            </w:r>
          </w:p>
        </w:tc>
        <w:tc>
          <w:tcPr>
            <w:tcW w:w="0" w:type="auto"/>
            <w:shd w:val="clear" w:color="auto" w:fill="auto"/>
            <w:tcMar>
              <w:top w:w="30" w:type="dxa"/>
              <w:left w:w="30" w:type="dxa"/>
              <w:bottom w:w="30" w:type="dxa"/>
              <w:right w:w="30" w:type="dxa"/>
            </w:tcMar>
            <w:vAlign w:val="center"/>
            <w:hideMark/>
          </w:tcPr>
          <w:p w14:paraId="726A64A9" w14:textId="77777777" w:rsidR="00965D74" w:rsidRPr="00965D74" w:rsidRDefault="00965D74" w:rsidP="00965D74">
            <w:pPr>
              <w:rPr>
                <w:lang w:val="en-US"/>
              </w:rPr>
            </w:pPr>
            <w:r w:rsidRPr="00965D74">
              <w:rPr>
                <w:lang w:val="en-US"/>
              </w:rPr>
              <w:t>13.5%</w:t>
            </w:r>
          </w:p>
        </w:tc>
        <w:tc>
          <w:tcPr>
            <w:tcW w:w="0" w:type="auto"/>
            <w:shd w:val="clear" w:color="auto" w:fill="auto"/>
            <w:tcMar>
              <w:top w:w="30" w:type="dxa"/>
              <w:left w:w="30" w:type="dxa"/>
              <w:bottom w:w="30" w:type="dxa"/>
              <w:right w:w="30" w:type="dxa"/>
            </w:tcMar>
            <w:vAlign w:val="center"/>
            <w:hideMark/>
          </w:tcPr>
          <w:p w14:paraId="76A4AC17" w14:textId="77777777" w:rsidR="00965D74" w:rsidRPr="00965D74" w:rsidRDefault="00965D74" w:rsidP="00965D74">
            <w:pPr>
              <w:rPr>
                <w:lang w:val="en-US"/>
              </w:rPr>
            </w:pPr>
            <w:r w:rsidRPr="00965D74">
              <w:rPr>
                <w:lang w:val="en-US"/>
              </w:rPr>
              <w:t>8.8%</w:t>
            </w:r>
          </w:p>
        </w:tc>
        <w:tc>
          <w:tcPr>
            <w:tcW w:w="0" w:type="auto"/>
            <w:shd w:val="clear" w:color="auto" w:fill="auto"/>
            <w:tcMar>
              <w:top w:w="30" w:type="dxa"/>
              <w:left w:w="30" w:type="dxa"/>
              <w:bottom w:w="30" w:type="dxa"/>
              <w:right w:w="30" w:type="dxa"/>
            </w:tcMar>
            <w:vAlign w:val="center"/>
            <w:hideMark/>
          </w:tcPr>
          <w:p w14:paraId="266AEE1C" w14:textId="77777777" w:rsidR="00965D74" w:rsidRPr="00965D74" w:rsidRDefault="00965D74" w:rsidP="00965D74">
            <w:pPr>
              <w:rPr>
                <w:lang w:val="en-US"/>
              </w:rPr>
            </w:pPr>
            <w:r w:rsidRPr="00965D74">
              <w:rPr>
                <w:lang w:val="en-US"/>
              </w:rPr>
              <w:t>9.7%</w:t>
            </w:r>
          </w:p>
        </w:tc>
        <w:tc>
          <w:tcPr>
            <w:tcW w:w="0" w:type="auto"/>
            <w:shd w:val="clear" w:color="auto" w:fill="auto"/>
            <w:tcMar>
              <w:top w:w="30" w:type="dxa"/>
              <w:left w:w="30" w:type="dxa"/>
              <w:bottom w:w="30" w:type="dxa"/>
              <w:right w:w="30" w:type="dxa"/>
            </w:tcMar>
            <w:vAlign w:val="center"/>
            <w:hideMark/>
          </w:tcPr>
          <w:p w14:paraId="6F3D7678" w14:textId="77777777" w:rsidR="00965D74" w:rsidRPr="00965D74" w:rsidRDefault="00965D74" w:rsidP="00965D74">
            <w:pPr>
              <w:rPr>
                <w:lang w:val="en-US"/>
              </w:rPr>
            </w:pPr>
            <w:r w:rsidRPr="00965D74">
              <w:rPr>
                <w:lang w:val="en-US"/>
              </w:rPr>
              <w:t>6.4%</w:t>
            </w:r>
          </w:p>
        </w:tc>
        <w:tc>
          <w:tcPr>
            <w:tcW w:w="0" w:type="auto"/>
            <w:shd w:val="clear" w:color="auto" w:fill="auto"/>
            <w:tcMar>
              <w:top w:w="30" w:type="dxa"/>
              <w:left w:w="30" w:type="dxa"/>
              <w:bottom w:w="30" w:type="dxa"/>
              <w:right w:w="30" w:type="dxa"/>
            </w:tcMar>
            <w:vAlign w:val="center"/>
            <w:hideMark/>
          </w:tcPr>
          <w:p w14:paraId="23F6D2AE" w14:textId="77777777" w:rsidR="00965D74" w:rsidRPr="00965D74" w:rsidRDefault="00965D74" w:rsidP="00965D74">
            <w:pPr>
              <w:rPr>
                <w:lang w:val="en-US"/>
              </w:rPr>
            </w:pPr>
            <w:r w:rsidRPr="00965D74">
              <w:rPr>
                <w:lang w:val="en-US"/>
              </w:rPr>
              <w:t>9.5%</w:t>
            </w:r>
          </w:p>
        </w:tc>
      </w:tr>
      <w:tr w:rsidR="00965D74" w:rsidRPr="00965D74" w14:paraId="5854C4B2" w14:textId="77777777" w:rsidTr="00965D74">
        <w:tc>
          <w:tcPr>
            <w:tcW w:w="0" w:type="auto"/>
            <w:shd w:val="clear" w:color="auto" w:fill="auto"/>
            <w:vAlign w:val="center"/>
            <w:hideMark/>
          </w:tcPr>
          <w:p w14:paraId="6083DE6E" w14:textId="77777777" w:rsidR="00965D74" w:rsidRPr="00965D74" w:rsidRDefault="00965D74" w:rsidP="00965D74">
            <w:pPr>
              <w:rPr>
                <w:b/>
                <w:bCs/>
                <w:lang w:val="en-US"/>
              </w:rPr>
            </w:pPr>
            <w:r w:rsidRPr="00965D74">
              <w:rPr>
                <w:b/>
                <w:bCs/>
                <w:lang w:val="en-US"/>
              </w:rPr>
              <w:t>100K+</w:t>
            </w:r>
          </w:p>
        </w:tc>
        <w:tc>
          <w:tcPr>
            <w:tcW w:w="0" w:type="auto"/>
            <w:shd w:val="clear" w:color="auto" w:fill="auto"/>
            <w:tcMar>
              <w:top w:w="30" w:type="dxa"/>
              <w:left w:w="30" w:type="dxa"/>
              <w:bottom w:w="30" w:type="dxa"/>
              <w:right w:w="30" w:type="dxa"/>
            </w:tcMar>
            <w:vAlign w:val="center"/>
            <w:hideMark/>
          </w:tcPr>
          <w:p w14:paraId="3DF91952" w14:textId="77777777" w:rsidR="00965D74" w:rsidRPr="00965D74" w:rsidRDefault="00965D74" w:rsidP="00965D74">
            <w:pPr>
              <w:rPr>
                <w:lang w:val="en-US"/>
              </w:rPr>
            </w:pPr>
            <w:r w:rsidRPr="00965D74">
              <w:rPr>
                <w:lang w:val="en-US"/>
              </w:rPr>
              <w:t>11.9%</w:t>
            </w:r>
          </w:p>
        </w:tc>
        <w:tc>
          <w:tcPr>
            <w:tcW w:w="0" w:type="auto"/>
            <w:shd w:val="clear" w:color="auto" w:fill="auto"/>
            <w:tcMar>
              <w:top w:w="30" w:type="dxa"/>
              <w:left w:w="30" w:type="dxa"/>
              <w:bottom w:w="30" w:type="dxa"/>
              <w:right w:w="30" w:type="dxa"/>
            </w:tcMar>
            <w:vAlign w:val="center"/>
            <w:hideMark/>
          </w:tcPr>
          <w:p w14:paraId="184D4631" w14:textId="77777777" w:rsidR="00965D74" w:rsidRPr="00965D74" w:rsidRDefault="00965D74" w:rsidP="00965D74">
            <w:pPr>
              <w:rPr>
                <w:lang w:val="en-US"/>
              </w:rPr>
            </w:pPr>
            <w:r w:rsidRPr="00965D74">
              <w:rPr>
                <w:lang w:val="en-US"/>
              </w:rPr>
              <w:t>3.1%</w:t>
            </w:r>
          </w:p>
        </w:tc>
        <w:tc>
          <w:tcPr>
            <w:tcW w:w="0" w:type="auto"/>
            <w:shd w:val="clear" w:color="auto" w:fill="auto"/>
            <w:tcMar>
              <w:top w:w="30" w:type="dxa"/>
              <w:left w:w="30" w:type="dxa"/>
              <w:bottom w:w="30" w:type="dxa"/>
              <w:right w:w="30" w:type="dxa"/>
            </w:tcMar>
            <w:vAlign w:val="center"/>
            <w:hideMark/>
          </w:tcPr>
          <w:p w14:paraId="678A92C0" w14:textId="77777777" w:rsidR="00965D74" w:rsidRPr="00965D74" w:rsidRDefault="00965D74" w:rsidP="00965D74">
            <w:pPr>
              <w:rPr>
                <w:lang w:val="en-US"/>
              </w:rPr>
            </w:pPr>
            <w:r w:rsidRPr="00965D74">
              <w:rPr>
                <w:lang w:val="en-US"/>
              </w:rPr>
              <w:t>4.2%</w:t>
            </w:r>
          </w:p>
        </w:tc>
        <w:tc>
          <w:tcPr>
            <w:tcW w:w="0" w:type="auto"/>
            <w:shd w:val="clear" w:color="auto" w:fill="auto"/>
            <w:tcMar>
              <w:top w:w="30" w:type="dxa"/>
              <w:left w:w="30" w:type="dxa"/>
              <w:bottom w:w="30" w:type="dxa"/>
              <w:right w:w="30" w:type="dxa"/>
            </w:tcMar>
            <w:vAlign w:val="center"/>
            <w:hideMark/>
          </w:tcPr>
          <w:p w14:paraId="4A2CBE7E" w14:textId="77777777" w:rsidR="00965D74" w:rsidRPr="00965D74" w:rsidRDefault="00965D74" w:rsidP="00965D74">
            <w:pPr>
              <w:rPr>
                <w:lang w:val="en-US"/>
              </w:rPr>
            </w:pPr>
            <w:r w:rsidRPr="00965D74">
              <w:rPr>
                <w:lang w:val="en-US"/>
              </w:rPr>
              <w:t>13.5%</w:t>
            </w:r>
          </w:p>
        </w:tc>
        <w:tc>
          <w:tcPr>
            <w:tcW w:w="0" w:type="auto"/>
            <w:shd w:val="clear" w:color="auto" w:fill="auto"/>
            <w:tcMar>
              <w:top w:w="30" w:type="dxa"/>
              <w:left w:w="30" w:type="dxa"/>
              <w:bottom w:w="30" w:type="dxa"/>
              <w:right w:w="30" w:type="dxa"/>
            </w:tcMar>
            <w:vAlign w:val="center"/>
            <w:hideMark/>
          </w:tcPr>
          <w:p w14:paraId="3194D372" w14:textId="77777777" w:rsidR="00965D74" w:rsidRPr="00965D74" w:rsidRDefault="00965D74" w:rsidP="00965D74">
            <w:pPr>
              <w:rPr>
                <w:lang w:val="en-US"/>
              </w:rPr>
            </w:pPr>
            <w:r w:rsidRPr="00965D74">
              <w:rPr>
                <w:lang w:val="en-US"/>
              </w:rPr>
              <w:t>7.6%</w:t>
            </w:r>
          </w:p>
        </w:tc>
        <w:tc>
          <w:tcPr>
            <w:tcW w:w="0" w:type="auto"/>
            <w:shd w:val="clear" w:color="auto" w:fill="auto"/>
            <w:tcMar>
              <w:top w:w="30" w:type="dxa"/>
              <w:left w:w="30" w:type="dxa"/>
              <w:bottom w:w="30" w:type="dxa"/>
              <w:right w:w="30" w:type="dxa"/>
            </w:tcMar>
            <w:vAlign w:val="center"/>
            <w:hideMark/>
          </w:tcPr>
          <w:p w14:paraId="358096EE" w14:textId="77777777" w:rsidR="00965D74" w:rsidRPr="00965D74" w:rsidRDefault="00965D74" w:rsidP="00965D74">
            <w:pPr>
              <w:rPr>
                <w:lang w:val="en-US"/>
              </w:rPr>
            </w:pPr>
            <w:r w:rsidRPr="00965D74">
              <w:rPr>
                <w:lang w:val="en-US"/>
              </w:rPr>
              <w:t>6.4%</w:t>
            </w:r>
          </w:p>
        </w:tc>
        <w:tc>
          <w:tcPr>
            <w:tcW w:w="0" w:type="auto"/>
            <w:shd w:val="clear" w:color="auto" w:fill="auto"/>
            <w:tcMar>
              <w:top w:w="30" w:type="dxa"/>
              <w:left w:w="30" w:type="dxa"/>
              <w:bottom w:w="30" w:type="dxa"/>
              <w:right w:w="30" w:type="dxa"/>
            </w:tcMar>
            <w:vAlign w:val="center"/>
            <w:hideMark/>
          </w:tcPr>
          <w:p w14:paraId="212AEC20" w14:textId="77777777" w:rsidR="00965D74" w:rsidRPr="00965D74" w:rsidRDefault="00965D74" w:rsidP="00965D74">
            <w:pPr>
              <w:rPr>
                <w:lang w:val="en-US"/>
              </w:rPr>
            </w:pPr>
            <w:r w:rsidRPr="00965D74">
              <w:rPr>
                <w:lang w:val="en-US"/>
              </w:rPr>
              <w:t>5.2%</w:t>
            </w:r>
          </w:p>
        </w:tc>
        <w:tc>
          <w:tcPr>
            <w:tcW w:w="0" w:type="auto"/>
            <w:shd w:val="clear" w:color="auto" w:fill="auto"/>
            <w:tcMar>
              <w:top w:w="30" w:type="dxa"/>
              <w:left w:w="30" w:type="dxa"/>
              <w:bottom w:w="30" w:type="dxa"/>
              <w:right w:w="30" w:type="dxa"/>
            </w:tcMar>
            <w:vAlign w:val="center"/>
            <w:hideMark/>
          </w:tcPr>
          <w:p w14:paraId="06B13BEE" w14:textId="77777777" w:rsidR="00965D74" w:rsidRPr="00965D74" w:rsidRDefault="00965D74" w:rsidP="00965D74">
            <w:pPr>
              <w:rPr>
                <w:lang w:val="en-US"/>
              </w:rPr>
            </w:pPr>
            <w:r w:rsidRPr="00965D74">
              <w:rPr>
                <w:lang w:val="en-US"/>
              </w:rPr>
              <w:t>8.9%</w:t>
            </w:r>
          </w:p>
        </w:tc>
      </w:tr>
      <w:tr w:rsidR="00965D74" w:rsidRPr="00965D74" w14:paraId="65B408BC" w14:textId="77777777" w:rsidTr="00965D74">
        <w:tc>
          <w:tcPr>
            <w:tcW w:w="0" w:type="auto"/>
            <w:shd w:val="clear" w:color="auto" w:fill="auto"/>
            <w:vAlign w:val="center"/>
            <w:hideMark/>
          </w:tcPr>
          <w:p w14:paraId="470AB316" w14:textId="77777777" w:rsidR="00965D74" w:rsidRPr="00965D74" w:rsidRDefault="00965D74" w:rsidP="00965D74">
            <w:pPr>
              <w:rPr>
                <w:b/>
                <w:bCs/>
                <w:lang w:val="en-US"/>
              </w:rPr>
            </w:pPr>
            <w:r w:rsidRPr="00965D74">
              <w:rPr>
                <w:b/>
                <w:bCs/>
                <w:lang w:val="en-US"/>
              </w:rPr>
              <w:t>Total</w:t>
            </w:r>
          </w:p>
        </w:tc>
        <w:tc>
          <w:tcPr>
            <w:tcW w:w="0" w:type="auto"/>
            <w:shd w:val="clear" w:color="auto" w:fill="auto"/>
            <w:tcMar>
              <w:top w:w="30" w:type="dxa"/>
              <w:left w:w="30" w:type="dxa"/>
              <w:bottom w:w="30" w:type="dxa"/>
              <w:right w:w="30" w:type="dxa"/>
            </w:tcMar>
            <w:vAlign w:val="center"/>
            <w:hideMark/>
          </w:tcPr>
          <w:p w14:paraId="00852558" w14:textId="77777777" w:rsidR="00965D74" w:rsidRPr="00965D74" w:rsidRDefault="00965D74" w:rsidP="00965D74">
            <w:pPr>
              <w:rPr>
                <w:lang w:val="en-US"/>
              </w:rPr>
            </w:pPr>
            <w:r w:rsidRPr="00965D74">
              <w:rPr>
                <w:lang w:val="en-US"/>
              </w:rPr>
              <w:t>100%</w:t>
            </w:r>
          </w:p>
        </w:tc>
        <w:tc>
          <w:tcPr>
            <w:tcW w:w="0" w:type="auto"/>
            <w:shd w:val="clear" w:color="auto" w:fill="auto"/>
            <w:tcMar>
              <w:top w:w="30" w:type="dxa"/>
              <w:left w:w="30" w:type="dxa"/>
              <w:bottom w:w="30" w:type="dxa"/>
              <w:right w:w="30" w:type="dxa"/>
            </w:tcMar>
            <w:vAlign w:val="center"/>
            <w:hideMark/>
          </w:tcPr>
          <w:p w14:paraId="0EF645FD" w14:textId="77777777" w:rsidR="00965D74" w:rsidRPr="00965D74" w:rsidRDefault="00965D74" w:rsidP="00965D74">
            <w:pPr>
              <w:rPr>
                <w:lang w:val="en-US"/>
              </w:rPr>
            </w:pPr>
            <w:r w:rsidRPr="00965D74">
              <w:rPr>
                <w:lang w:val="en-US"/>
              </w:rPr>
              <w:t>100%</w:t>
            </w:r>
          </w:p>
        </w:tc>
        <w:tc>
          <w:tcPr>
            <w:tcW w:w="0" w:type="auto"/>
            <w:shd w:val="clear" w:color="auto" w:fill="auto"/>
            <w:tcMar>
              <w:top w:w="30" w:type="dxa"/>
              <w:left w:w="30" w:type="dxa"/>
              <w:bottom w:w="30" w:type="dxa"/>
              <w:right w:w="30" w:type="dxa"/>
            </w:tcMar>
            <w:vAlign w:val="center"/>
            <w:hideMark/>
          </w:tcPr>
          <w:p w14:paraId="18E7A40D" w14:textId="77777777" w:rsidR="00965D74" w:rsidRPr="00965D74" w:rsidRDefault="00965D74" w:rsidP="00965D74">
            <w:pPr>
              <w:rPr>
                <w:lang w:val="en-US"/>
              </w:rPr>
            </w:pPr>
            <w:r w:rsidRPr="00965D74">
              <w:rPr>
                <w:lang w:val="en-US"/>
              </w:rPr>
              <w:t>100%</w:t>
            </w:r>
          </w:p>
        </w:tc>
        <w:tc>
          <w:tcPr>
            <w:tcW w:w="0" w:type="auto"/>
            <w:shd w:val="clear" w:color="auto" w:fill="auto"/>
            <w:tcMar>
              <w:top w:w="30" w:type="dxa"/>
              <w:left w:w="30" w:type="dxa"/>
              <w:bottom w:w="30" w:type="dxa"/>
              <w:right w:w="30" w:type="dxa"/>
            </w:tcMar>
            <w:vAlign w:val="center"/>
            <w:hideMark/>
          </w:tcPr>
          <w:p w14:paraId="098D3AFD" w14:textId="77777777" w:rsidR="00965D74" w:rsidRPr="00965D74" w:rsidRDefault="00965D74" w:rsidP="00965D74">
            <w:pPr>
              <w:rPr>
                <w:lang w:val="en-US"/>
              </w:rPr>
            </w:pPr>
            <w:r w:rsidRPr="00965D74">
              <w:rPr>
                <w:lang w:val="en-US"/>
              </w:rPr>
              <w:t>100%</w:t>
            </w:r>
          </w:p>
        </w:tc>
        <w:tc>
          <w:tcPr>
            <w:tcW w:w="0" w:type="auto"/>
            <w:shd w:val="clear" w:color="auto" w:fill="auto"/>
            <w:tcMar>
              <w:top w:w="30" w:type="dxa"/>
              <w:left w:w="30" w:type="dxa"/>
              <w:bottom w:w="30" w:type="dxa"/>
              <w:right w:w="30" w:type="dxa"/>
            </w:tcMar>
            <w:vAlign w:val="center"/>
            <w:hideMark/>
          </w:tcPr>
          <w:p w14:paraId="0A1CB6D8" w14:textId="77777777" w:rsidR="00965D74" w:rsidRPr="00965D74" w:rsidRDefault="00965D74" w:rsidP="00965D74">
            <w:pPr>
              <w:rPr>
                <w:lang w:val="en-US"/>
              </w:rPr>
            </w:pPr>
            <w:r w:rsidRPr="00965D74">
              <w:rPr>
                <w:lang w:val="en-US"/>
              </w:rPr>
              <w:t>100%</w:t>
            </w:r>
          </w:p>
        </w:tc>
        <w:tc>
          <w:tcPr>
            <w:tcW w:w="0" w:type="auto"/>
            <w:shd w:val="clear" w:color="auto" w:fill="auto"/>
            <w:tcMar>
              <w:top w:w="30" w:type="dxa"/>
              <w:left w:w="30" w:type="dxa"/>
              <w:bottom w:w="30" w:type="dxa"/>
              <w:right w:w="30" w:type="dxa"/>
            </w:tcMar>
            <w:vAlign w:val="center"/>
            <w:hideMark/>
          </w:tcPr>
          <w:p w14:paraId="0A9F3DC6" w14:textId="77777777" w:rsidR="00965D74" w:rsidRPr="00965D74" w:rsidRDefault="00965D74" w:rsidP="00965D74">
            <w:pPr>
              <w:rPr>
                <w:lang w:val="en-US"/>
              </w:rPr>
            </w:pPr>
            <w:r w:rsidRPr="00965D74">
              <w:rPr>
                <w:lang w:val="en-US"/>
              </w:rPr>
              <w:t>100%</w:t>
            </w:r>
          </w:p>
        </w:tc>
        <w:tc>
          <w:tcPr>
            <w:tcW w:w="0" w:type="auto"/>
            <w:shd w:val="clear" w:color="auto" w:fill="auto"/>
            <w:tcMar>
              <w:top w:w="30" w:type="dxa"/>
              <w:left w:w="30" w:type="dxa"/>
              <w:bottom w:w="30" w:type="dxa"/>
              <w:right w:w="30" w:type="dxa"/>
            </w:tcMar>
            <w:vAlign w:val="center"/>
            <w:hideMark/>
          </w:tcPr>
          <w:p w14:paraId="1A1180BA" w14:textId="77777777" w:rsidR="00965D74" w:rsidRPr="00965D74" w:rsidRDefault="00965D74" w:rsidP="00965D74">
            <w:pPr>
              <w:rPr>
                <w:lang w:val="en-US"/>
              </w:rPr>
            </w:pPr>
            <w:r w:rsidRPr="00965D74">
              <w:rPr>
                <w:lang w:val="en-US"/>
              </w:rPr>
              <w:t>100%</w:t>
            </w:r>
          </w:p>
        </w:tc>
        <w:tc>
          <w:tcPr>
            <w:tcW w:w="0" w:type="auto"/>
            <w:shd w:val="clear" w:color="auto" w:fill="auto"/>
            <w:tcMar>
              <w:top w:w="30" w:type="dxa"/>
              <w:left w:w="30" w:type="dxa"/>
              <w:bottom w:w="30" w:type="dxa"/>
              <w:right w:w="30" w:type="dxa"/>
            </w:tcMar>
            <w:vAlign w:val="center"/>
            <w:hideMark/>
          </w:tcPr>
          <w:p w14:paraId="2C842CB6" w14:textId="77777777" w:rsidR="00965D74" w:rsidRPr="00965D74" w:rsidRDefault="00965D74" w:rsidP="00965D74">
            <w:pPr>
              <w:rPr>
                <w:lang w:val="en-US"/>
              </w:rPr>
            </w:pPr>
            <w:r w:rsidRPr="00965D74">
              <w:rPr>
                <w:lang w:val="en-US"/>
              </w:rPr>
              <w:t>100%</w:t>
            </w:r>
          </w:p>
        </w:tc>
      </w:tr>
    </w:tbl>
    <w:p w14:paraId="46C008D9" w14:textId="77777777" w:rsidR="00965D74" w:rsidRPr="00965D74" w:rsidRDefault="00965D74" w:rsidP="00965D74">
      <w:pPr>
        <w:rPr>
          <w:lang w:val="en-US"/>
        </w:rPr>
      </w:pPr>
      <w:r w:rsidRPr="00965D74">
        <w:rPr>
          <w:lang w:val="en-US"/>
        </w:rPr>
        <w:t> </w:t>
      </w:r>
    </w:p>
    <w:p w14:paraId="5020483E" w14:textId="77777777" w:rsidR="00965D74" w:rsidRPr="00965D74" w:rsidRDefault="00965D74" w:rsidP="00965D74">
      <w:pPr>
        <w:rPr>
          <w:lang w:val="en-US"/>
        </w:rPr>
      </w:pPr>
      <w:r w:rsidRPr="00965D74">
        <w:rPr>
          <w:lang w:val="en-US"/>
        </w:rPr>
        <w:t>My initial interpretation of the state-level data for Florida in 2008, based on the data output from Social Science Data Analysis Network’s WebChip tool, is that almost 30% of the entire state population is at the lowest-income category, meaning, earning less than 25K per year. Non-Hispanic Whites have the lowest distribution of people in the lowest-income category compared to other race/ethnicity groups. Another observation is that Non-Hispanic Whites, and Asians, have the highest percentage of people who are in the highest-earning category, at almost 10% respectively, compared to other race/ethnicity groups. While Black, Hispanic, and Non-White Other populations within the state have the highest distribution of people within their race/ethnicity groups, in the lowest-income category.</w:t>
      </w:r>
    </w:p>
    <w:p w14:paraId="01806372" w14:textId="77777777" w:rsidR="00965D74" w:rsidRPr="00965D74" w:rsidRDefault="00965D74" w:rsidP="00965D74">
      <w:pPr>
        <w:rPr>
          <w:lang w:val="en-US"/>
        </w:rPr>
      </w:pPr>
      <w:r w:rsidRPr="00965D74">
        <w:rPr>
          <w:lang w:val="en-US"/>
        </w:rPr>
        <w:lastRenderedPageBreak/>
        <w:t>Using comparable data from Social Science Data Analysis Network’s WebChip tool, for both 2008 and 2016, I can say that relatively, not much has changed, though there are slight differences. In 2016, almost 30% of the entire state population continues to be at the lowest-income category, meaning, earning less than 25K per year. From 2008, to 2016, Non-Hispanic Whites continue to have the lowest distribution of people in the lowest-income category compared to other race/ethnicity groups, though there is a 1% increase. Additionally, Non-Hispanic Whites, and Asians continue to have the highest percentage of people who are in the highest-earning category, though there has been an increase of 2% for Non-Hispanic Whites, and a 4% increase for Asians, compared to other race/ethnicity groups. Lastly, when comparing 2008 data to 2016 data, Black and Hispanic populations within the state continue to have the highest distribution of people within their race/ethnicity groups, in the lowest-income category. And most notably, Non-White Other population within the state, decreased their distribution within the lowest-income category, by 7%, and increased their distribution within the highest earning-category, by almost 4%.</w:t>
      </w:r>
    </w:p>
    <w:p w14:paraId="3573B5A0" w14:textId="77777777" w:rsidR="00965D74" w:rsidRPr="00965D74" w:rsidRDefault="00965D74" w:rsidP="00965D74">
      <w:pPr>
        <w:rPr>
          <w:lang w:val="en-US"/>
        </w:rPr>
      </w:pPr>
      <w:r w:rsidRPr="00965D74">
        <w:rPr>
          <w:lang w:val="en-US"/>
        </w:rPr>
        <w:t>Social Science Data Analysis Network’s WebChip tool provides data across 7 race/ethnicity groups (Non-Hispanic Whites, Blacks, Asian, Hispanic, American Indian, Non-White Other, and Non-White Multi-racial groups). A few observations from analyzing the data for Florida between 2008 to 2016 is that Black, American Indian and Non-White Other population percentages stayed relatively the same, while Non-Hispanic White population percentage decreased by almost 5%. And lastly, Asian and Non-Hispanic Multi-Racial population percentages increased by less than 1% respectively, while Hispanic population percentage grew by 4%. Overall, when comparing both years, across all race/ethnicity groups, the percentage of people within the lowest-earning category stayed the same, however, the higher-earning category distribution increased for the most part, by 1%.</w:t>
      </w:r>
    </w:p>
    <w:p w14:paraId="330B9138" w14:textId="77777777" w:rsidR="00965D74" w:rsidRPr="00965D74" w:rsidRDefault="00965D74" w:rsidP="00965D74">
      <w:pPr>
        <w:rPr>
          <w:lang w:val="en-US"/>
        </w:rPr>
      </w:pPr>
      <w:r w:rsidRPr="00965D74">
        <w:rPr>
          <w:lang w:val="en-US"/>
        </w:rPr>
        <w:t>One story that I would like to share, from my personal experience in the Tech Industry in Corporate America, is very much related to racial and economic inequalities. I am a Hispanic woman, who works within a team, and department, that is mostly made up of men, who are either Non-Hispanic White or Asian. I often participate in the recruiting process for my team, whenever we’ve needed to increase our staff to meet the demand of our stakeholders. I can say that whenever we’ve posted a new job opening for an engineer, our team doesn’t normally receive applications from many racial/ethnicity groups. And while our team would like to hire with diversity in mind, and we make efforts to make the job openings visible within minority resource groups, we don’t typically have a lot of luck getting a diverse group of applicants. And I wonder, if this is due to </w:t>
      </w:r>
      <w:r w:rsidRPr="00965D74">
        <w:rPr>
          <w:b/>
          <w:bCs/>
          <w:lang w:val="en-US"/>
        </w:rPr>
        <w:t>institutional racism</w:t>
      </w:r>
      <w:r w:rsidRPr="00965D74">
        <w:rPr>
          <w:lang w:val="en-US"/>
        </w:rPr>
        <w:t> or a broken system, that doesn’t allow for a diverse group of people to have the same life chances, education, and opportunities to attain high-paying jobs? This experience is one that aligns very much with the data that I’ve analyzed for Florida, and the data highlighted in the book. Based on what I’ve read in the book, the data in Florida is not that much different from national data, where predominantly Non-Hispanic Whites, and Asian men are the highest paid. I am hopeful that by the actions of our team, and hopefully, diversity initiatives across the U.S. more and more people can break these inequality gaps, that we’ve been perpetuation for generations. I’m also hopeful that by having more diversity and awareness we’re able to break the cycles of bias and </w:t>
      </w:r>
      <w:r w:rsidRPr="00965D74">
        <w:rPr>
          <w:b/>
          <w:bCs/>
          <w:lang w:val="en-US"/>
        </w:rPr>
        <w:t>stereotypes </w:t>
      </w:r>
      <w:r w:rsidRPr="00965D74">
        <w:rPr>
          <w:lang w:val="en-US"/>
        </w:rPr>
        <w:t>we’ve created and learned, to make a better and more equal society.</w:t>
      </w:r>
    </w:p>
    <w:p w14:paraId="24B4BA91" w14:textId="7694901B" w:rsidR="00AF46D8" w:rsidRDefault="00AF46D8"/>
    <w:sectPr w:rsidR="00AF4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a2NDMyNTE3MDQzMjZX0lEKTi0uzszPAykwrAUAXY5esiwAAAA="/>
  </w:docVars>
  <w:rsids>
    <w:rsidRoot w:val="00651A59"/>
    <w:rsid w:val="00651A59"/>
    <w:rsid w:val="008E1750"/>
    <w:rsid w:val="00965D74"/>
    <w:rsid w:val="00AF46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B85DFA"/>
  <w15:chartTrackingRefBased/>
  <w15:docId w15:val="{1BB1F4FE-AA07-43A4-9EF0-61E0A9A3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651A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1A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1A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1A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1A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1A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1A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1A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1A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A59"/>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651A59"/>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651A59"/>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651A59"/>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651A59"/>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651A59"/>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651A59"/>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651A59"/>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651A59"/>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651A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1A59"/>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651A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1A59"/>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651A59"/>
    <w:pPr>
      <w:spacing w:before="160"/>
      <w:jc w:val="center"/>
    </w:pPr>
    <w:rPr>
      <w:i/>
      <w:iCs/>
      <w:color w:val="404040" w:themeColor="text1" w:themeTint="BF"/>
    </w:rPr>
  </w:style>
  <w:style w:type="character" w:customStyle="1" w:styleId="QuoteChar">
    <w:name w:val="Quote Char"/>
    <w:basedOn w:val="DefaultParagraphFont"/>
    <w:link w:val="Quote"/>
    <w:uiPriority w:val="29"/>
    <w:rsid w:val="00651A59"/>
    <w:rPr>
      <w:i/>
      <w:iCs/>
      <w:color w:val="404040" w:themeColor="text1" w:themeTint="BF"/>
      <w:lang w:val="en-GB"/>
    </w:rPr>
  </w:style>
  <w:style w:type="paragraph" w:styleId="ListParagraph">
    <w:name w:val="List Paragraph"/>
    <w:basedOn w:val="Normal"/>
    <w:uiPriority w:val="34"/>
    <w:qFormat/>
    <w:rsid w:val="00651A59"/>
    <w:pPr>
      <w:ind w:left="720"/>
      <w:contextualSpacing/>
    </w:pPr>
  </w:style>
  <w:style w:type="character" w:styleId="IntenseEmphasis">
    <w:name w:val="Intense Emphasis"/>
    <w:basedOn w:val="DefaultParagraphFont"/>
    <w:uiPriority w:val="21"/>
    <w:qFormat/>
    <w:rsid w:val="00651A59"/>
    <w:rPr>
      <w:i/>
      <w:iCs/>
      <w:color w:val="0F4761" w:themeColor="accent1" w:themeShade="BF"/>
    </w:rPr>
  </w:style>
  <w:style w:type="paragraph" w:styleId="IntenseQuote">
    <w:name w:val="Intense Quote"/>
    <w:basedOn w:val="Normal"/>
    <w:next w:val="Normal"/>
    <w:link w:val="IntenseQuoteChar"/>
    <w:uiPriority w:val="30"/>
    <w:qFormat/>
    <w:rsid w:val="00651A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1A59"/>
    <w:rPr>
      <w:i/>
      <w:iCs/>
      <w:color w:val="0F4761" w:themeColor="accent1" w:themeShade="BF"/>
      <w:lang w:val="en-GB"/>
    </w:rPr>
  </w:style>
  <w:style w:type="character" w:styleId="IntenseReference">
    <w:name w:val="Intense Reference"/>
    <w:basedOn w:val="DefaultParagraphFont"/>
    <w:uiPriority w:val="32"/>
    <w:qFormat/>
    <w:rsid w:val="00651A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48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839</Words>
  <Characters>4787</Characters>
  <Application>Microsoft Office Word</Application>
  <DocSecurity>0</DocSecurity>
  <Lines>39</Lines>
  <Paragraphs>11</Paragraphs>
  <ScaleCrop>false</ScaleCrop>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 Kirkic</dc:creator>
  <cp:keywords/>
  <dc:description/>
  <cp:lastModifiedBy>Ayse Kirkic</cp:lastModifiedBy>
  <cp:revision>2</cp:revision>
  <dcterms:created xsi:type="dcterms:W3CDTF">2024-10-14T16:17:00Z</dcterms:created>
  <dcterms:modified xsi:type="dcterms:W3CDTF">2024-10-14T16:18:00Z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8bd99d6065a25ef26b47dea84627ee3bb0e866d5ad5f1f8644214d1c77659996</vt:lpwstr>
  </property>
</Properties>
</file>